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6400DE" w14:textId="77777777" w:rsidR="009636FC" w:rsidRPr="00B91524" w:rsidRDefault="003E5F0B" w:rsidP="004468F3">
      <w:pPr>
        <w:pStyle w:val="NoSpacing"/>
      </w:pPr>
      <w:r w:rsidRPr="00B91524">
        <w:rPr>
          <w:noProof/>
        </w:rPr>
        <mc:AlternateContent>
          <mc:Choice Requires="wpg">
            <w:drawing>
              <wp:anchor distT="0" distB="0" distL="114300" distR="114300" simplePos="0" relativeHeight="251661823" behindDoc="0" locked="0" layoutInCell="1" allowOverlap="1" wp14:anchorId="4DB53048" wp14:editId="3B0A277A">
                <wp:simplePos x="0" y="0"/>
                <wp:positionH relativeFrom="column">
                  <wp:posOffset>-4638040</wp:posOffset>
                </wp:positionH>
                <wp:positionV relativeFrom="paragraph">
                  <wp:posOffset>-1351280</wp:posOffset>
                </wp:positionV>
                <wp:extent cx="13602335" cy="13954125"/>
                <wp:effectExtent l="0" t="559435" r="545465" b="1640840"/>
                <wp:wrapNone/>
                <wp:docPr id="25"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602335" cy="13954125"/>
                          <a:chOff x="-6170" y="-994"/>
                          <a:chExt cx="21421" cy="21975"/>
                        </a:xfrm>
                      </wpg:grpSpPr>
                      <wps:wsp>
                        <wps:cNvPr id="26" name="AutoShape 2"/>
                        <wps:cNvSpPr>
                          <a:spLocks noChangeArrowheads="1"/>
                        </wps:cNvSpPr>
                        <wps:spPr bwMode="auto">
                          <a:xfrm rot="-1564936">
                            <a:off x="74" y="-994"/>
                            <a:ext cx="6291" cy="21421"/>
                          </a:xfrm>
                          <a:prstGeom prst="moon">
                            <a:avLst>
                              <a:gd name="adj" fmla="val 50000"/>
                            </a:avLst>
                          </a:prstGeom>
                          <a:solidFill>
                            <a:schemeClr val="accent3">
                              <a:lumMod val="100000"/>
                              <a:lumOff val="0"/>
                            </a:scheme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 name="AutoShape 3"/>
                        <wps:cNvSpPr>
                          <a:spLocks noChangeArrowheads="1"/>
                        </wps:cNvSpPr>
                        <wps:spPr bwMode="auto">
                          <a:xfrm rot="7952886">
                            <a:off x="8441" y="-2833"/>
                            <a:ext cx="4001" cy="7799"/>
                          </a:xfrm>
                          <a:prstGeom prst="moon">
                            <a:avLst>
                              <a:gd name="adj" fmla="val 50000"/>
                            </a:avLst>
                          </a:prstGeom>
                          <a:solidFill>
                            <a:schemeClr val="accent2">
                              <a:lumMod val="100000"/>
                              <a:lumOff val="0"/>
                            </a:scheme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8" name="AutoShape 6"/>
                        <wps:cNvSpPr>
                          <a:spLocks noChangeArrowheads="1"/>
                        </wps:cNvSpPr>
                        <wps:spPr bwMode="auto">
                          <a:xfrm rot="-24703715">
                            <a:off x="-547" y="5182"/>
                            <a:ext cx="10176" cy="21421"/>
                          </a:xfrm>
                          <a:prstGeom prst="moon">
                            <a:avLst>
                              <a:gd name="adj" fmla="val 65435"/>
                            </a:avLst>
                          </a:prstGeom>
                          <a:solidFill>
                            <a:schemeClr val="accent1">
                              <a:lumMod val="100000"/>
                              <a:lumOff val="0"/>
                            </a:scheme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w:pict>
              <v:group w14:anchorId="7DBFBAEA" id="Group 18" o:spid="_x0000_s1026" style="position:absolute;margin-left:-365.2pt;margin-top:-106.4pt;width:1071.05pt;height:1098.75pt;z-index:251661823" coordorigin="-6170,-994" coordsize="21421,219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">
                <v:shapetype id="_x0000_t184" coordsize="21600,21600" o:spt="184" adj="10800" path="m21600,qx,10800,21600,21600wa@0@10@6@11,21600,21600,21600,xe">
                  <v:stroke joinstyle="miter"/>
                  <v:formulas>
                    <v:f eqn="val #0"/>
                    <v:f eqn="sum 21600 0 #0"/>
                    <v:f eqn="prod #0 #0 @1"/>
                    <v:f eqn="prod 21600 21600 @1"/>
                    <v:f eqn="prod @3 2 1"/>
                    <v:f eqn="sum @4 0 @2"/>
                    <v:f eqn="sum @5 0 #0"/>
                    <v:f eqn="prod @5 1 2"/>
                    <v:f eqn="sum @7 0 #0"/>
                    <v:f eqn="prod @8 1 2"/>
                    <v:f eqn="sum 10800 0 @9"/>
                    <v:f eqn="sum @9 10800 0"/>
                    <v:f eqn="prod #0 9598 32768"/>
                    <v:f eqn="sum 21600 0 @12"/>
                    <v:f eqn="ellipse @13 21600 10800"/>
                    <v:f eqn="sum 10800 0 @14"/>
                    <v:f eqn="sum @14 10800 0"/>
                  </v:formulas>
                  <v:path o:connecttype="custom" o:connectlocs="21600,0;0,10800;21600,21600;@0,10800" o:connectangles="270,180,90,0" textboxrect="@12,@15,@0,@16"/>
                  <v:handles>
                    <v:h position="#0,center" xrange="0,18900"/>
                  </v:handles>
                </v:shapetype>
                <v:shape id="AutoShape 2" o:spid="_x0000_s1027" type="#_x0000_t184" style="position:absolute;left:74;top:-994;width:6291;height:21421;rotation:-1709327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" fillcolor="#fdc300 [3206]" stroked="f"/>
                <v:shape id="AutoShape 3" o:spid="_x0000_s1028" type="#_x0000_t184" style="position:absolute;left:8441;top:-2833;width:4001;height:7799;rotation:8686672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" fillcolor="#3ed8bd [3205]" stroked="f"/>
                <v:shape id="AutoShape 6" o:spid="_x0000_s1029" type="#_x0000_t184" style="position:absolute;left:-547;top:5182;width:10176;height:21421;rotation:-339008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" adj="14134" fillcolor="#1d4477 [3204]" stroked="f"/>
              </v:group>
            </w:pict>
          </mc:Fallback>
        </mc:AlternateContent>
      </w:r>
    </w:p>
    <w:p w14:paraId="7381F07B" w14:textId="77777777" w:rsidR="009636FC" w:rsidRPr="00B91524" w:rsidRDefault="00A67FC8" w:rsidP="004468F3">
      <w:pPr>
        <w:pStyle w:val="NoSpacing"/>
      </w:pPr>
      <w:r w:rsidRPr="00B91524">
        <w:rPr>
          <w:noProof/>
        </w:rPr>
        <w:drawing>
          <wp:anchor distT="0" distB="0" distL="114300" distR="114300" simplePos="0" relativeHeight="251657216" behindDoc="1" locked="0" layoutInCell="1" allowOverlap="1" wp14:anchorId="0F994DB0" wp14:editId="07460EAA">
            <wp:simplePos x="0" y="0"/>
            <wp:positionH relativeFrom="column">
              <wp:posOffset>2192414</wp:posOffset>
            </wp:positionH>
            <wp:positionV relativeFrom="paragraph">
              <wp:posOffset>15240</wp:posOffset>
            </wp:positionV>
            <wp:extent cx="3927689" cy="3600450"/>
            <wp:effectExtent l="0" t="0" r="0" b="0"/>
            <wp:wrapNone/>
            <wp:docPr id="16" name="Picture 16" descr="A picture containing drawing, foo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Sofia-stacked-RGB.png"/>
                    <pic:cNvPicPr/>
                  </pic:nvPicPr>
                  <pic:blipFill>
                    <a:blip r:embed="rId11" cstate="print">
                      <a:alphaModFix/>
                      <a:extLst>
                        <a:ext uri="{28A0092B-C50C-407E-A947-70E740481C1C}">
                          <a14:useLocalDpi xmlns:a14="http://schemas.microsoft.com/office/drawing/2010/main" val="0"/>
                        </a:ext>
                      </a:extLst>
                    </a:blip>
                    <a:stretch>
                      <a:fillRect/>
                    </a:stretch>
                  </pic:blipFill>
                  <pic:spPr>
                    <a:xfrm>
                      <a:off x="0" y="0"/>
                      <a:ext cx="3927689" cy="3600450"/>
                    </a:xfrm>
                    <a:prstGeom prst="rect">
                      <a:avLst/>
                    </a:prstGeom>
                  </pic:spPr>
                </pic:pic>
              </a:graphicData>
            </a:graphic>
            <wp14:sizeRelH relativeFrom="page">
              <wp14:pctWidth>0</wp14:pctWidth>
            </wp14:sizeRelH>
            <wp14:sizeRelV relativeFrom="page">
              <wp14:pctHeight>0</wp14:pctHeight>
            </wp14:sizeRelV>
          </wp:anchor>
        </w:drawing>
      </w:r>
    </w:p>
    <w:p w14:paraId="5AF3827D" w14:textId="77777777" w:rsidR="009636FC" w:rsidRPr="00B91524" w:rsidRDefault="009636FC" w:rsidP="004468F3">
      <w:pPr>
        <w:pStyle w:val="NoSpacing"/>
      </w:pPr>
    </w:p>
    <w:p w14:paraId="4AE1CD27" w14:textId="77777777" w:rsidR="009636FC" w:rsidRPr="00B91524" w:rsidRDefault="009636FC" w:rsidP="004468F3">
      <w:pPr>
        <w:pStyle w:val="NoSpacing"/>
      </w:pPr>
    </w:p>
    <w:p w14:paraId="53881F8B" w14:textId="77777777" w:rsidR="009636FC" w:rsidRPr="00B91524" w:rsidRDefault="009636FC" w:rsidP="004468F3">
      <w:pPr>
        <w:pStyle w:val="NoSpacing"/>
      </w:pPr>
    </w:p>
    <w:p w14:paraId="282EF130" w14:textId="77777777" w:rsidR="009636FC" w:rsidRPr="00B91524" w:rsidRDefault="009636FC" w:rsidP="004468F3">
      <w:pPr>
        <w:pStyle w:val="NoSpacing"/>
      </w:pPr>
    </w:p>
    <w:p w14:paraId="2BE7822D" w14:textId="77777777" w:rsidR="004C252C" w:rsidRPr="00B91524" w:rsidRDefault="004C252C" w:rsidP="004C252C">
      <w:pPr>
        <w:rPr>
          <w:rFonts w:cs="Arial"/>
        </w:rPr>
      </w:pPr>
    </w:p>
    <w:p w14:paraId="6B79B39D" w14:textId="77777777" w:rsidR="00A67FC8" w:rsidRPr="00B91524" w:rsidRDefault="00A67FC8" w:rsidP="004C252C">
      <w:pPr>
        <w:rPr>
          <w:rFonts w:cs="Arial"/>
        </w:rPr>
      </w:pPr>
    </w:p>
    <w:p w14:paraId="36EC81E0" w14:textId="77777777" w:rsidR="00A67FC8" w:rsidRPr="00B91524" w:rsidRDefault="00A67FC8" w:rsidP="004C252C">
      <w:pPr>
        <w:rPr>
          <w:rFonts w:cs="Arial"/>
        </w:rPr>
      </w:pPr>
    </w:p>
    <w:p w14:paraId="2A3F4153" w14:textId="77777777" w:rsidR="00A67FC8" w:rsidRPr="00B91524" w:rsidRDefault="00A67FC8" w:rsidP="004C252C">
      <w:pPr>
        <w:rPr>
          <w:rFonts w:cs="Arial"/>
        </w:rPr>
      </w:pPr>
    </w:p>
    <w:p w14:paraId="57B9C38D" w14:textId="77777777" w:rsidR="00A67FC8" w:rsidRPr="00B91524" w:rsidRDefault="00A67FC8" w:rsidP="004C252C">
      <w:pPr>
        <w:rPr>
          <w:rFonts w:cs="Arial"/>
        </w:rPr>
      </w:pPr>
    </w:p>
    <w:p w14:paraId="0C8FCD1F" w14:textId="77777777" w:rsidR="00A67FC8" w:rsidRPr="00B91524" w:rsidRDefault="00A67FC8" w:rsidP="004C252C">
      <w:pPr>
        <w:rPr>
          <w:rFonts w:cs="Arial"/>
        </w:rPr>
      </w:pPr>
    </w:p>
    <w:p w14:paraId="03BCCA06" w14:textId="77777777" w:rsidR="00A67FC8" w:rsidRPr="00B91524" w:rsidRDefault="00A67FC8" w:rsidP="004C252C">
      <w:pPr>
        <w:rPr>
          <w:rFonts w:cs="Arial"/>
        </w:rPr>
      </w:pPr>
    </w:p>
    <w:p w14:paraId="7C9EFEA6" w14:textId="77777777" w:rsidR="00A67FC8" w:rsidRPr="00B91524" w:rsidRDefault="00A67FC8" w:rsidP="004C252C">
      <w:pPr>
        <w:rPr>
          <w:rFonts w:cs="Arial"/>
        </w:rPr>
      </w:pPr>
    </w:p>
    <w:p w14:paraId="7A9C2887" w14:textId="77777777" w:rsidR="00A67FC8" w:rsidRPr="00B91524" w:rsidRDefault="00A67FC8" w:rsidP="004C252C">
      <w:pPr>
        <w:rPr>
          <w:rFonts w:cs="Arial"/>
        </w:rPr>
      </w:pPr>
    </w:p>
    <w:p w14:paraId="53CBB78E" w14:textId="77777777" w:rsidR="009636FC" w:rsidRPr="00B91524" w:rsidRDefault="009636FC" w:rsidP="004468F3">
      <w:pPr>
        <w:pStyle w:val="NoSpacing"/>
        <w:rPr>
          <w:rFonts w:ascii="Arial" w:hAnsi="Arial" w:cs="Arial"/>
        </w:rPr>
      </w:pPr>
    </w:p>
    <w:p w14:paraId="494DADCF" w14:textId="77777777" w:rsidR="009636FC" w:rsidRPr="00B91524" w:rsidRDefault="009636FC" w:rsidP="004468F3">
      <w:pPr>
        <w:pStyle w:val="NoSpacing"/>
        <w:rPr>
          <w:rFonts w:ascii="Arial" w:hAnsi="Arial" w:cs="Arial"/>
        </w:rPr>
      </w:pPr>
    </w:p>
    <w:p w14:paraId="4411B544" w14:textId="77777777" w:rsidR="009636FC" w:rsidRPr="00B91524" w:rsidRDefault="003E5F0B" w:rsidP="004468F3">
      <w:pPr>
        <w:pStyle w:val="NoSpacing"/>
        <w:rPr>
          <w:rFonts w:ascii="Arial" w:hAnsi="Arial" w:cs="Arial"/>
        </w:rPr>
      </w:pPr>
      <w:r w:rsidRPr="00B91524">
        <w:rPr>
          <w:noProof/>
        </w:rPr>
        <mc:AlternateContent>
          <mc:Choice Requires="wps">
            <w:drawing>
              <wp:anchor distT="45720" distB="45720" distL="114300" distR="114300" simplePos="0" relativeHeight="251662847" behindDoc="0" locked="0" layoutInCell="1" allowOverlap="1" wp14:anchorId="25AD4C4D" wp14:editId="0454F6D3">
                <wp:simplePos x="0" y="0"/>
                <wp:positionH relativeFrom="column">
                  <wp:posOffset>2167255</wp:posOffset>
                </wp:positionH>
                <wp:positionV relativeFrom="paragraph">
                  <wp:posOffset>152400</wp:posOffset>
                </wp:positionV>
                <wp:extent cx="4484370" cy="2959100"/>
                <wp:effectExtent l="1270" t="635" r="635" b="2540"/>
                <wp:wrapSquare wrapText="bothSides"/>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84370" cy="2959100"/>
                        </a:xfrm>
                        <a:prstGeom prst="rect">
                          <a:avLst/>
                        </a:prstGeom>
                        <a:noFill/>
                        <a:ln>
                          <a:noFill/>
                        </a:ln>
                        <a:extLst>
                          <a:ext uri="{909E8E84-426E-40DD-AFC4-6F175D3DCCD1}">
                            <a14:hiddenFill xmlns:a14="http://schemas.microsoft.com/office/drawing/2010/main">
                              <a:solidFill>
                                <a:schemeClr val="accent1">
                                  <a:lumMod val="100000"/>
                                  <a:lumOff val="0"/>
                                </a:schemeClr>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85CD3C" w14:textId="77777777" w:rsidR="002905DA" w:rsidRDefault="002905DA">
                            <w:pPr>
                              <w:rPr>
                                <w:color w:val="1D4477" w:themeColor="accent1"/>
                                <w:sz w:val="48"/>
                                <w:szCs w:val="48"/>
                              </w:rPr>
                            </w:pPr>
                          </w:p>
                          <w:p w14:paraId="2DE6A387" w14:textId="77777777" w:rsidR="002905DA" w:rsidRDefault="002905DA" w:rsidP="001E68C7">
                            <w:pPr>
                              <w:rPr>
                                <w:caps/>
                                <w:color w:val="1D4477" w:themeColor="accent1"/>
                                <w:sz w:val="36"/>
                                <w:szCs w:val="36"/>
                              </w:rPr>
                            </w:pPr>
                            <w:r w:rsidRPr="001E68C7">
                              <w:rPr>
                                <w:caps/>
                                <w:color w:val="1D4477" w:themeColor="accent1"/>
                                <w:sz w:val="36"/>
                                <w:szCs w:val="36"/>
                              </w:rPr>
                              <w:t xml:space="preserve">pre-construction plans and documentation: Detailed construction and monitoring programme: </w:t>
                            </w:r>
                          </w:p>
                          <w:p w14:paraId="7D123182" w14:textId="08A49B4E" w:rsidR="002905DA" w:rsidRPr="001E68C7" w:rsidRDefault="002905DA" w:rsidP="001E68C7">
                            <w:pPr>
                              <w:rPr>
                                <w:caps/>
                                <w:color w:val="1D4477" w:themeColor="accent1"/>
                                <w:sz w:val="36"/>
                                <w:szCs w:val="36"/>
                              </w:rPr>
                            </w:pPr>
                            <w:r w:rsidRPr="001E68C7">
                              <w:rPr>
                                <w:caps/>
                                <w:color w:val="1D4477" w:themeColor="accent1"/>
                                <w:sz w:val="36"/>
                                <w:szCs w:val="36"/>
                              </w:rPr>
                              <w:t>benthic monitoring plan</w:t>
                            </w:r>
                          </w:p>
                          <w:p w14:paraId="51A4413F" w14:textId="77777777" w:rsidR="002905DA" w:rsidRPr="00D90A35" w:rsidRDefault="002905DA" w:rsidP="00F63B2D">
                            <w:pPr>
                              <w:rPr>
                                <w:caps/>
                                <w:color w:val="1D4477" w:themeColor="accent1"/>
                                <w:sz w:val="28"/>
                                <w:szCs w:val="28"/>
                              </w:rPr>
                            </w:pPr>
                          </w:p>
                          <w:p w14:paraId="504E2841" w14:textId="77777777" w:rsidR="002905DA" w:rsidRDefault="002905DA">
                            <w:pPr>
                              <w:rPr>
                                <w:color w:val="1D4477" w:themeColor="accent1"/>
                                <w:sz w:val="28"/>
                                <w:szCs w:val="28"/>
                              </w:rPr>
                            </w:pPr>
                          </w:p>
                          <w:p w14:paraId="616B2871" w14:textId="77777777" w:rsidR="002905DA" w:rsidRDefault="002905DA">
                            <w:pPr>
                              <w:rPr>
                                <w:color w:val="1D4477" w:themeColor="accent1"/>
                                <w:sz w:val="28"/>
                                <w:szCs w:val="28"/>
                              </w:rPr>
                            </w:pPr>
                          </w:p>
                          <w:p w14:paraId="66FB674B" w14:textId="77777777" w:rsidR="002905DA" w:rsidRDefault="002905DA">
                            <w:pPr>
                              <w:rPr>
                                <w:color w:val="1D4477" w:themeColor="accent1"/>
                                <w:sz w:val="28"/>
                                <w:szCs w:val="28"/>
                              </w:rPr>
                            </w:pPr>
                          </w:p>
                          <w:p w14:paraId="55B685D5" w14:textId="77777777" w:rsidR="002905DA" w:rsidRPr="00D91A52" w:rsidRDefault="002905DA">
                            <w:pPr>
                              <w:rPr>
                                <w:color w:val="1D4477" w:themeColor="accent1"/>
                                <w:sz w:val="28"/>
                                <w:szCs w:val="2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5AD4C4D" id="_x0000_t202" coordsize="21600,21600" o:spt="202" path="m,l,21600r21600,l21600,xe">
                <v:stroke joinstyle="miter"/>
                <v:path gradientshapeok="t" o:connecttype="rect"/>
              </v:shapetype>
              <v:shape id="Text Box 2" o:spid="_x0000_s1026" type="#_x0000_t202" style="position:absolute;margin-left:170.65pt;margin-top:12pt;width:353.1pt;height:233pt;z-index:251662847;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" filled="f" fillcolor="#1d4477 [3204]" stroked="f">
                <v:textbox>
                  <w:txbxContent>
                    <w:p w14:paraId="2085CD3C" w14:textId="77777777" w:rsidR="002905DA" w:rsidRDefault="002905DA">
                      <w:pPr>
                        <w:rPr>
                          <w:color w:val="1D4477" w:themeColor="accent1"/>
                          <w:sz w:val="48"/>
                          <w:szCs w:val="48"/>
                        </w:rPr>
                      </w:pPr>
                    </w:p>
                    <w:p w14:paraId="2DE6A387" w14:textId="77777777" w:rsidR="002905DA" w:rsidRDefault="002905DA" w:rsidP="001E68C7">
                      <w:pPr>
                        <w:rPr>
                          <w:caps/>
                          <w:color w:val="1D4477" w:themeColor="accent1"/>
                          <w:sz w:val="36"/>
                          <w:szCs w:val="36"/>
                        </w:rPr>
                      </w:pPr>
                      <w:r w:rsidRPr="001E68C7">
                        <w:rPr>
                          <w:caps/>
                          <w:color w:val="1D4477" w:themeColor="accent1"/>
                          <w:sz w:val="36"/>
                          <w:szCs w:val="36"/>
                        </w:rPr>
                        <w:t xml:space="preserve">pre-construction plans and documentation: Detailed construction and monitoring programme: </w:t>
                      </w:r>
                    </w:p>
                    <w:p w14:paraId="7D123182" w14:textId="08A49B4E" w:rsidR="002905DA" w:rsidRPr="001E68C7" w:rsidRDefault="002905DA" w:rsidP="001E68C7">
                      <w:pPr>
                        <w:rPr>
                          <w:caps/>
                          <w:color w:val="1D4477" w:themeColor="accent1"/>
                          <w:sz w:val="36"/>
                          <w:szCs w:val="36"/>
                        </w:rPr>
                      </w:pPr>
                      <w:r w:rsidRPr="001E68C7">
                        <w:rPr>
                          <w:caps/>
                          <w:color w:val="1D4477" w:themeColor="accent1"/>
                          <w:sz w:val="36"/>
                          <w:szCs w:val="36"/>
                        </w:rPr>
                        <w:t>benthic monitoring plan</w:t>
                      </w:r>
                    </w:p>
                    <w:p w14:paraId="51A4413F" w14:textId="77777777" w:rsidR="002905DA" w:rsidRPr="00D90A35" w:rsidRDefault="002905DA" w:rsidP="00F63B2D">
                      <w:pPr>
                        <w:rPr>
                          <w:caps/>
                          <w:color w:val="1D4477" w:themeColor="accent1"/>
                          <w:sz w:val="28"/>
                          <w:szCs w:val="28"/>
                        </w:rPr>
                      </w:pPr>
                    </w:p>
                    <w:p w14:paraId="504E2841" w14:textId="77777777" w:rsidR="002905DA" w:rsidRDefault="002905DA">
                      <w:pPr>
                        <w:rPr>
                          <w:color w:val="1D4477" w:themeColor="accent1"/>
                          <w:sz w:val="28"/>
                          <w:szCs w:val="28"/>
                        </w:rPr>
                      </w:pPr>
                    </w:p>
                    <w:p w14:paraId="616B2871" w14:textId="77777777" w:rsidR="002905DA" w:rsidRDefault="002905DA">
                      <w:pPr>
                        <w:rPr>
                          <w:color w:val="1D4477" w:themeColor="accent1"/>
                          <w:sz w:val="28"/>
                          <w:szCs w:val="28"/>
                        </w:rPr>
                      </w:pPr>
                    </w:p>
                    <w:p w14:paraId="66FB674B" w14:textId="77777777" w:rsidR="002905DA" w:rsidRDefault="002905DA">
                      <w:pPr>
                        <w:rPr>
                          <w:color w:val="1D4477" w:themeColor="accent1"/>
                          <w:sz w:val="28"/>
                          <w:szCs w:val="28"/>
                        </w:rPr>
                      </w:pPr>
                    </w:p>
                    <w:p w14:paraId="55B685D5" w14:textId="77777777" w:rsidR="002905DA" w:rsidRPr="00D91A52" w:rsidRDefault="002905DA">
                      <w:pPr>
                        <w:rPr>
                          <w:color w:val="1D4477" w:themeColor="accent1"/>
                          <w:sz w:val="28"/>
                          <w:szCs w:val="28"/>
                        </w:rPr>
                      </w:pPr>
                    </w:p>
                  </w:txbxContent>
                </v:textbox>
                <w10:wrap type="square"/>
              </v:shape>
            </w:pict>
          </mc:Fallback>
        </mc:AlternateContent>
      </w:r>
    </w:p>
    <w:p w14:paraId="7663CE16" w14:textId="77777777" w:rsidR="00D16F57" w:rsidRPr="00B91524" w:rsidRDefault="00D16F57" w:rsidP="004468F3">
      <w:pPr>
        <w:pStyle w:val="NoSpacing"/>
        <w:rPr>
          <w:rFonts w:ascii="Arial" w:hAnsi="Arial" w:cs="Arial"/>
        </w:rPr>
      </w:pPr>
    </w:p>
    <w:p w14:paraId="6DE620C5" w14:textId="77777777" w:rsidR="009636FC" w:rsidRPr="00B91524" w:rsidRDefault="009636FC" w:rsidP="004468F3">
      <w:pPr>
        <w:pStyle w:val="NoSpacing"/>
        <w:rPr>
          <w:rFonts w:ascii="Arial" w:hAnsi="Arial" w:cs="Arial"/>
        </w:rPr>
      </w:pPr>
    </w:p>
    <w:p w14:paraId="30840C4B" w14:textId="77777777" w:rsidR="00EB4B57" w:rsidRPr="00B91524" w:rsidRDefault="00EB4B57" w:rsidP="004468F3">
      <w:pPr>
        <w:pStyle w:val="NoSpacing"/>
        <w:rPr>
          <w:rFonts w:ascii="Arial" w:hAnsi="Arial" w:cs="Arial"/>
        </w:rPr>
      </w:pPr>
    </w:p>
    <w:p w14:paraId="54D87448" w14:textId="77777777" w:rsidR="009636FC" w:rsidRPr="00B91524" w:rsidRDefault="009636FC" w:rsidP="004468F3">
      <w:pPr>
        <w:pStyle w:val="NoSpacing"/>
        <w:rPr>
          <w:rFonts w:ascii="Arial" w:hAnsi="Arial" w:cs="Arial"/>
          <w:color w:val="000000" w:themeColor="text1"/>
        </w:rPr>
      </w:pPr>
    </w:p>
    <w:p w14:paraId="0EF1E299" w14:textId="77777777" w:rsidR="009636FC" w:rsidRPr="00B91524" w:rsidRDefault="00684530" w:rsidP="004468F3">
      <w:pPr>
        <w:pStyle w:val="NoSpacing"/>
        <w:rPr>
          <w:rFonts w:ascii="Arial" w:hAnsi="Arial" w:cs="Arial"/>
          <w:color w:val="000000" w:themeColor="text1"/>
        </w:rPr>
      </w:pPr>
      <w:r w:rsidRPr="00B91524">
        <w:rPr>
          <w:rFonts w:ascii="Arial" w:hAnsi="Arial" w:cs="Arial"/>
          <w:b/>
          <w:bCs/>
          <w:color w:val="000000" w:themeColor="text1"/>
        </w:rPr>
        <w:tab/>
      </w:r>
      <w:r w:rsidRPr="00B91524">
        <w:rPr>
          <w:rFonts w:ascii="Arial" w:hAnsi="Arial" w:cs="Arial"/>
          <w:b/>
          <w:bCs/>
          <w:color w:val="000000" w:themeColor="text1"/>
        </w:rPr>
        <w:tab/>
      </w:r>
      <w:r w:rsidR="008B537C" w:rsidRPr="00B91524">
        <w:rPr>
          <w:rFonts w:ascii="Arial" w:hAnsi="Arial" w:cs="Arial"/>
          <w:color w:val="000000" w:themeColor="text1"/>
        </w:rPr>
        <w:t xml:space="preserve"> </w:t>
      </w:r>
    </w:p>
    <w:p w14:paraId="708EC565" w14:textId="77777777" w:rsidR="004D7CFE" w:rsidRPr="00B91524" w:rsidRDefault="004D7CFE" w:rsidP="004468F3">
      <w:pPr>
        <w:pStyle w:val="NoSpacing"/>
        <w:rPr>
          <w:rFonts w:ascii="Arial" w:hAnsi="Arial" w:cs="Arial"/>
          <w:color w:val="000000" w:themeColor="text1"/>
        </w:rPr>
      </w:pPr>
    </w:p>
    <w:p w14:paraId="3037AE46" w14:textId="77777777" w:rsidR="00530920" w:rsidRPr="00B91524" w:rsidRDefault="00684530" w:rsidP="004468F3">
      <w:pPr>
        <w:pStyle w:val="NoSpacing"/>
        <w:rPr>
          <w:rFonts w:ascii="Arial" w:hAnsi="Arial" w:cs="Arial"/>
          <w:color w:val="000000" w:themeColor="text1"/>
        </w:rPr>
      </w:pPr>
      <w:r w:rsidRPr="00B91524">
        <w:rPr>
          <w:rFonts w:ascii="Arial" w:hAnsi="Arial" w:cs="Arial"/>
          <w:color w:val="000000" w:themeColor="text1"/>
        </w:rPr>
        <w:tab/>
      </w:r>
    </w:p>
    <w:p w14:paraId="63259390" w14:textId="77777777" w:rsidR="00684530" w:rsidRPr="00B91524" w:rsidRDefault="00684530" w:rsidP="004468F3">
      <w:pPr>
        <w:pStyle w:val="NoSpacing"/>
        <w:rPr>
          <w:rFonts w:ascii="Arial" w:hAnsi="Arial" w:cs="Arial"/>
          <w:color w:val="000000" w:themeColor="text1"/>
        </w:rPr>
      </w:pPr>
    </w:p>
    <w:p w14:paraId="339AD6E0" w14:textId="77777777" w:rsidR="00530920" w:rsidRPr="00B91524" w:rsidRDefault="00530920" w:rsidP="004468F3">
      <w:pPr>
        <w:pStyle w:val="NoSpacing"/>
        <w:rPr>
          <w:rFonts w:ascii="Arial" w:hAnsi="Arial" w:cs="Arial"/>
          <w:color w:val="000000" w:themeColor="text1"/>
        </w:rPr>
      </w:pPr>
    </w:p>
    <w:p w14:paraId="563227DD" w14:textId="77777777" w:rsidR="004D7CFE" w:rsidRPr="00B91524" w:rsidRDefault="004D7CFE" w:rsidP="004468F3">
      <w:pPr>
        <w:pStyle w:val="NoSpacing"/>
        <w:rPr>
          <w:rFonts w:ascii="Arial" w:hAnsi="Arial" w:cs="Arial"/>
          <w:color w:val="000000" w:themeColor="text1"/>
        </w:rPr>
      </w:pPr>
    </w:p>
    <w:p w14:paraId="5D3036FB" w14:textId="77777777" w:rsidR="009636FC" w:rsidRPr="00B91524" w:rsidRDefault="009636FC" w:rsidP="004468F3">
      <w:pPr>
        <w:pStyle w:val="NoSpacing"/>
      </w:pPr>
    </w:p>
    <w:p w14:paraId="1DBA1207" w14:textId="77777777" w:rsidR="009636FC" w:rsidRPr="00B91524" w:rsidRDefault="003E5F0B">
      <w:pPr>
        <w:spacing w:after="200" w:line="276" w:lineRule="auto"/>
      </w:pPr>
      <w:r w:rsidRPr="00B91524">
        <w:rPr>
          <w:noProof/>
        </w:rPr>
        <mc:AlternateContent>
          <mc:Choice Requires="wps">
            <w:drawing>
              <wp:anchor distT="45720" distB="45720" distL="114300" distR="114300" simplePos="0" relativeHeight="251671039" behindDoc="0" locked="0" layoutInCell="1" allowOverlap="1" wp14:anchorId="4A8DAFC1" wp14:editId="105A9C89">
                <wp:simplePos x="0" y="0"/>
                <wp:positionH relativeFrom="column">
                  <wp:posOffset>-529590</wp:posOffset>
                </wp:positionH>
                <wp:positionV relativeFrom="paragraph">
                  <wp:posOffset>1544320</wp:posOffset>
                </wp:positionV>
                <wp:extent cx="6892290" cy="1431925"/>
                <wp:effectExtent l="0" t="0" r="0" b="0"/>
                <wp:wrapSquare wrapText="bothSides"/>
                <wp:docPr id="23"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92290" cy="1431925"/>
                        </a:xfrm>
                        <a:prstGeom prst="rect">
                          <a:avLst/>
                        </a:prstGeom>
                        <a:noFill/>
                        <a:ln>
                          <a:noFill/>
                        </a:ln>
                        <a:extLst>
                          <a:ext uri="{909E8E84-426E-40DD-AFC4-6F175D3DCCD1}">
                            <a14:hiddenFill xmlns:a14="http://schemas.microsoft.com/office/drawing/2010/main">
                              <a:solidFill>
                                <a:schemeClr val="accent1">
                                  <a:lumMod val="100000"/>
                                  <a:lumOff val="0"/>
                                </a:schemeClr>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559CAE" w14:textId="77777777" w:rsidR="002905DA" w:rsidRDefault="002905DA" w:rsidP="00D91A52">
                            <w:pPr>
                              <w:rPr>
                                <w:color w:val="FFFFFF" w:themeColor="background1"/>
                                <w:sz w:val="28"/>
                                <w:szCs w:val="28"/>
                              </w:rPr>
                            </w:pPr>
                          </w:p>
                          <w:tbl>
                            <w:tblPr>
                              <w:tblStyle w:val="LightGrid"/>
                              <w:tblW w:w="3353" w:type="pct"/>
                              <w:tblBorders>
                                <w:top w:val="none" w:sz="0" w:space="0" w:color="auto"/>
                                <w:bottom w:val="none" w:sz="0" w:space="0" w:color="auto"/>
                                <w:insideH w:val="none" w:sz="0" w:space="0" w:color="auto"/>
                              </w:tblBorders>
                              <w:tblLook w:val="04A0" w:firstRow="1" w:lastRow="0" w:firstColumn="1" w:lastColumn="0" w:noHBand="0" w:noVBand="1"/>
                            </w:tblPr>
                            <w:tblGrid>
                              <w:gridCol w:w="3544"/>
                              <w:gridCol w:w="3542"/>
                            </w:tblGrid>
                            <w:tr w:rsidR="002905DA" w:rsidRPr="00D91A52" w14:paraId="63C79CC4" w14:textId="77777777" w:rsidTr="00D91A52">
                              <w:trPr>
                                <w:cnfStyle w:val="100000000000" w:firstRow="1" w:lastRow="0" w:firstColumn="0" w:lastColumn="0" w:oddVBand="0" w:evenVBand="0" w:oddHBand="0" w:evenHBand="0" w:firstRowFirstColumn="0" w:firstRowLastColumn="0" w:lastRowFirstColumn="0" w:lastRowLastColumn="0"/>
                                <w:trHeight w:val="201"/>
                              </w:trPr>
                              <w:tc>
                                <w:tcPr>
                                  <w:cnfStyle w:val="001000000000" w:firstRow="0" w:lastRow="0" w:firstColumn="1" w:lastColumn="0" w:oddVBand="0" w:evenVBand="0" w:oddHBand="0" w:evenHBand="0" w:firstRowFirstColumn="0" w:firstRowLastColumn="0" w:lastRowFirstColumn="0" w:lastRowLastColumn="0"/>
                                  <w:tcW w:w="2501" w:type="pct"/>
                                  <w:tcBorders>
                                    <w:top w:val="none" w:sz="0" w:space="0" w:color="auto"/>
                                    <w:bottom w:val="none" w:sz="0" w:space="0" w:color="auto"/>
                                  </w:tcBorders>
                                  <w:shd w:val="clear" w:color="auto" w:fill="auto"/>
                                </w:tcPr>
                                <w:p w14:paraId="7D68A02A" w14:textId="77777777" w:rsidR="002905DA" w:rsidRPr="00D91A52" w:rsidRDefault="002905DA" w:rsidP="00D91A52">
                                  <w:pPr>
                                    <w:pStyle w:val="NoSpacing"/>
                                    <w:ind w:left="-3790" w:firstLine="3790"/>
                                    <w:rPr>
                                      <w:rFonts w:ascii="Arial" w:hAnsi="Arial" w:cs="Arial"/>
                                      <w:sz w:val="20"/>
                                      <w:szCs w:val="20"/>
                                    </w:rPr>
                                  </w:pPr>
                                  <w:r w:rsidRPr="00D91A52">
                                    <w:rPr>
                                      <w:rFonts w:ascii="Arial" w:hAnsi="Arial" w:cs="Arial"/>
                                      <w:sz w:val="20"/>
                                      <w:szCs w:val="20"/>
                                    </w:rPr>
                                    <w:t>Date</w:t>
                                  </w:r>
                                </w:p>
                              </w:tc>
                              <w:tc>
                                <w:tcPr>
                                  <w:tcW w:w="2499" w:type="pct"/>
                                  <w:shd w:val="clear" w:color="auto" w:fill="auto"/>
                                </w:tcPr>
                                <w:p w14:paraId="31D56D1C" w14:textId="0D7CA1D7" w:rsidR="002905DA" w:rsidRPr="0009712F" w:rsidRDefault="002905DA" w:rsidP="0009712F">
                                  <w:pPr>
                                    <w:pStyle w:val="NoSpacing"/>
                                    <w:ind w:left="-3790" w:firstLine="3790"/>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b w:val="0"/>
                                      <w:bCs w:val="0"/>
                                      <w:sz w:val="20"/>
                                      <w:szCs w:val="20"/>
                                    </w:rPr>
                                    <w:t>08 June 2021</w:t>
                                  </w:r>
                                </w:p>
                              </w:tc>
                            </w:tr>
                            <w:tr w:rsidR="002905DA" w:rsidRPr="00D91A52" w14:paraId="7CAC566D" w14:textId="77777777" w:rsidTr="00D91A52">
                              <w:trPr>
                                <w:cnfStyle w:val="000000100000" w:firstRow="0" w:lastRow="0" w:firstColumn="0" w:lastColumn="0" w:oddVBand="0" w:evenVBand="0" w:oddHBand="1" w:evenHBand="0" w:firstRowFirstColumn="0" w:firstRowLastColumn="0" w:lastRowFirstColumn="0" w:lastRowLastColumn="0"/>
                                <w:trHeight w:val="391"/>
                              </w:trPr>
                              <w:tc>
                                <w:tcPr>
                                  <w:cnfStyle w:val="001000000000" w:firstRow="0" w:lastRow="0" w:firstColumn="1" w:lastColumn="0" w:oddVBand="0" w:evenVBand="0" w:oddHBand="0" w:evenHBand="0" w:firstRowFirstColumn="0" w:firstRowLastColumn="0" w:lastRowFirstColumn="0" w:lastRowLastColumn="0"/>
                                  <w:tcW w:w="2501"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7BD603FC" w14:textId="77777777" w:rsidR="002905DA" w:rsidRPr="00D91A52" w:rsidRDefault="002905DA" w:rsidP="00D91A52">
                                  <w:pPr>
                                    <w:pStyle w:val="NoSpacing"/>
                                    <w:ind w:left="-3790" w:firstLine="3790"/>
                                    <w:rPr>
                                      <w:rFonts w:ascii="Arial" w:hAnsi="Arial" w:cs="Arial"/>
                                      <w:b/>
                                      <w:color w:val="FFFFFF" w:themeColor="background1"/>
                                      <w:sz w:val="20"/>
                                      <w:szCs w:val="20"/>
                                    </w:rPr>
                                  </w:pPr>
                                  <w:r w:rsidRPr="00D91A52">
                                    <w:rPr>
                                      <w:rFonts w:ascii="Arial" w:hAnsi="Arial" w:cs="Arial"/>
                                      <w:b/>
                                      <w:color w:val="FFFFFF" w:themeColor="background1"/>
                                      <w:sz w:val="20"/>
                                      <w:szCs w:val="20"/>
                                    </w:rPr>
                                    <w:t>Document reference</w:t>
                                  </w:r>
                                </w:p>
                              </w:tc>
                              <w:tc>
                                <w:tcPr>
                                  <w:tcW w:w="2499"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5C63D341" w14:textId="77777777" w:rsidR="002905DA" w:rsidRPr="00D91A52" w:rsidRDefault="002905DA" w:rsidP="00D91A52">
                                  <w:pPr>
                                    <w:pStyle w:val="NoSpacing"/>
                                    <w:ind w:left="-3790" w:firstLine="3790"/>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rPr>
                                  </w:pPr>
                                  <w:r>
                                    <w:rPr>
                                      <w:rFonts w:ascii="Arial" w:hAnsi="Arial" w:cs="Arial"/>
                                      <w:color w:val="FFFFFF" w:themeColor="background1"/>
                                      <w:sz w:val="20"/>
                                      <w:szCs w:val="20"/>
                                    </w:rPr>
                                    <w:t>003552655</w:t>
                                  </w:r>
                                </w:p>
                              </w:tc>
                            </w:tr>
                            <w:tr w:rsidR="002905DA" w:rsidRPr="00D91A52" w14:paraId="5F5B1491" w14:textId="77777777" w:rsidTr="00D91A52">
                              <w:trPr>
                                <w:cnfStyle w:val="000000010000" w:firstRow="0" w:lastRow="0" w:firstColumn="0" w:lastColumn="0" w:oddVBand="0" w:evenVBand="0" w:oddHBand="0" w:evenHBand="1" w:firstRowFirstColumn="0" w:firstRowLastColumn="0" w:lastRowFirstColumn="0" w:lastRowLastColumn="0"/>
                                <w:trHeight w:val="190"/>
                              </w:trPr>
                              <w:tc>
                                <w:tcPr>
                                  <w:cnfStyle w:val="001000000000" w:firstRow="0" w:lastRow="0" w:firstColumn="1" w:lastColumn="0" w:oddVBand="0" w:evenVBand="0" w:oddHBand="0" w:evenHBand="0" w:firstRowFirstColumn="0" w:firstRowLastColumn="0" w:lastRowFirstColumn="0" w:lastRowLastColumn="0"/>
                                  <w:tcW w:w="2501"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7A7C906D" w14:textId="77777777" w:rsidR="002905DA" w:rsidRPr="00D91A52" w:rsidRDefault="002905DA" w:rsidP="00D91A52">
                                  <w:pPr>
                                    <w:pStyle w:val="NoSpacing"/>
                                    <w:ind w:left="-3790" w:firstLine="3790"/>
                                    <w:rPr>
                                      <w:rFonts w:ascii="Arial" w:hAnsi="Arial" w:cs="Arial"/>
                                      <w:b/>
                                      <w:color w:val="FFFFFF" w:themeColor="background1"/>
                                      <w:sz w:val="20"/>
                                      <w:szCs w:val="20"/>
                                    </w:rPr>
                                  </w:pPr>
                                  <w:r w:rsidRPr="00D91A52">
                                    <w:rPr>
                                      <w:rFonts w:ascii="Arial" w:hAnsi="Arial" w:cs="Arial"/>
                                      <w:b/>
                                      <w:color w:val="FFFFFF" w:themeColor="background1"/>
                                      <w:sz w:val="20"/>
                                      <w:szCs w:val="20"/>
                                    </w:rPr>
                                    <w:t>Revision</w:t>
                                  </w:r>
                                </w:p>
                              </w:tc>
                              <w:tc>
                                <w:tcPr>
                                  <w:tcW w:w="2499"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17BD971E" w14:textId="7B340650" w:rsidR="002905DA" w:rsidRPr="00D91A52" w:rsidRDefault="002905DA" w:rsidP="00D91A52">
                                  <w:pPr>
                                    <w:pStyle w:val="NoSpacing"/>
                                    <w:ind w:left="-3790" w:firstLine="3790"/>
                                    <w:cnfStyle w:val="000000010000" w:firstRow="0" w:lastRow="0" w:firstColumn="0" w:lastColumn="0" w:oddVBand="0" w:evenVBand="0" w:oddHBand="0" w:evenHBand="1" w:firstRowFirstColumn="0" w:firstRowLastColumn="0" w:lastRowFirstColumn="0" w:lastRowLastColumn="0"/>
                                    <w:rPr>
                                      <w:rFonts w:ascii="Arial" w:hAnsi="Arial" w:cs="Arial"/>
                                      <w:color w:val="FFFFFF" w:themeColor="background1"/>
                                      <w:sz w:val="20"/>
                                      <w:szCs w:val="20"/>
                                    </w:rPr>
                                  </w:pPr>
                                  <w:r w:rsidRPr="00D91A52">
                                    <w:rPr>
                                      <w:rFonts w:ascii="Arial" w:hAnsi="Arial" w:cs="Arial"/>
                                      <w:color w:val="FFFFFF" w:themeColor="background1"/>
                                      <w:sz w:val="20"/>
                                      <w:szCs w:val="20"/>
                                    </w:rPr>
                                    <w:t>0</w:t>
                                  </w:r>
                                  <w:r>
                                    <w:rPr>
                                      <w:rFonts w:ascii="Arial" w:hAnsi="Arial" w:cs="Arial"/>
                                      <w:color w:val="FFFFFF" w:themeColor="background1"/>
                                      <w:sz w:val="20"/>
                                      <w:szCs w:val="20"/>
                                    </w:rPr>
                                    <w:t>6</w:t>
                                  </w:r>
                                </w:p>
                              </w:tc>
                            </w:tr>
                          </w:tbl>
                          <w:p w14:paraId="4430E122" w14:textId="77777777" w:rsidR="002905DA" w:rsidRPr="00D91A52" w:rsidRDefault="002905DA" w:rsidP="00D91A52">
                            <w:pPr>
                              <w:rPr>
                                <w:color w:val="FFFFFF" w:themeColor="background1"/>
                                <w:sz w:val="28"/>
                                <w:szCs w:val="2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A8DAFC1" id="_x0000_t202" coordsize="21600,21600" o:spt="202" path="m,l,21600r21600,l21600,xe">
                <v:stroke joinstyle="miter"/>
                <v:path gradientshapeok="t" o:connecttype="rect"/>
              </v:shapetype>
              <v:shape id="Text Box 15" o:spid="_x0000_s1027" type="#_x0000_t202" style="position:absolute;margin-left:-41.7pt;margin-top:121.6pt;width:542.7pt;height:112.75pt;z-index:25167103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" filled="f" fillcolor="#1d4477 [3204]" stroked="f">
                <v:textbox>
                  <w:txbxContent>
                    <w:p w14:paraId="66559CAE" w14:textId="77777777" w:rsidR="002905DA" w:rsidRDefault="002905DA" w:rsidP="00D91A52">
                      <w:pPr>
                        <w:rPr>
                          <w:color w:val="FFFFFF" w:themeColor="background1"/>
                          <w:sz w:val="28"/>
                          <w:szCs w:val="28"/>
                        </w:rPr>
                      </w:pPr>
                    </w:p>
                    <w:tbl>
                      <w:tblPr>
                        <w:tblStyle w:val="LightGrid"/>
                        <w:tblW w:w="3353" w:type="pct"/>
                        <w:tblBorders>
                          <w:top w:val="none" w:sz="0" w:space="0" w:color="auto"/>
                          <w:bottom w:val="none" w:sz="0" w:space="0" w:color="auto"/>
                          <w:insideH w:val="none" w:sz="0" w:space="0" w:color="auto"/>
                        </w:tblBorders>
                        <w:tblLook w:val="04A0" w:firstRow="1" w:lastRow="0" w:firstColumn="1" w:lastColumn="0" w:noHBand="0" w:noVBand="1"/>
                      </w:tblPr>
                      <w:tblGrid>
                        <w:gridCol w:w="3544"/>
                        <w:gridCol w:w="3542"/>
                      </w:tblGrid>
                      <w:tr w:rsidR="002905DA" w:rsidRPr="00D91A52" w14:paraId="63C79CC4" w14:textId="77777777" w:rsidTr="00D91A52">
                        <w:trPr>
                          <w:cnfStyle w:val="100000000000" w:firstRow="1" w:lastRow="0" w:firstColumn="0" w:lastColumn="0" w:oddVBand="0" w:evenVBand="0" w:oddHBand="0" w:evenHBand="0" w:firstRowFirstColumn="0" w:firstRowLastColumn="0" w:lastRowFirstColumn="0" w:lastRowLastColumn="0"/>
                          <w:trHeight w:val="201"/>
                        </w:trPr>
                        <w:tc>
                          <w:tcPr>
                            <w:cnfStyle w:val="001000000000" w:firstRow="0" w:lastRow="0" w:firstColumn="1" w:lastColumn="0" w:oddVBand="0" w:evenVBand="0" w:oddHBand="0" w:evenHBand="0" w:firstRowFirstColumn="0" w:firstRowLastColumn="0" w:lastRowFirstColumn="0" w:lastRowLastColumn="0"/>
                            <w:tcW w:w="2501" w:type="pct"/>
                            <w:tcBorders>
                              <w:top w:val="none" w:sz="0" w:space="0" w:color="auto"/>
                              <w:bottom w:val="none" w:sz="0" w:space="0" w:color="auto"/>
                            </w:tcBorders>
                            <w:shd w:val="clear" w:color="auto" w:fill="auto"/>
                          </w:tcPr>
                          <w:p w14:paraId="7D68A02A" w14:textId="77777777" w:rsidR="002905DA" w:rsidRPr="00D91A52" w:rsidRDefault="002905DA" w:rsidP="00D91A52">
                            <w:pPr>
                              <w:pStyle w:val="NoSpacing"/>
                              <w:ind w:left="-3790" w:firstLine="3790"/>
                              <w:rPr>
                                <w:rFonts w:ascii="Arial" w:hAnsi="Arial" w:cs="Arial"/>
                                <w:sz w:val="20"/>
                                <w:szCs w:val="20"/>
                              </w:rPr>
                            </w:pPr>
                            <w:r w:rsidRPr="00D91A52">
                              <w:rPr>
                                <w:rFonts w:ascii="Arial" w:hAnsi="Arial" w:cs="Arial"/>
                                <w:sz w:val="20"/>
                                <w:szCs w:val="20"/>
                              </w:rPr>
                              <w:t>Date</w:t>
                            </w:r>
                          </w:p>
                        </w:tc>
                        <w:tc>
                          <w:tcPr>
                            <w:tcW w:w="2499" w:type="pct"/>
                            <w:shd w:val="clear" w:color="auto" w:fill="auto"/>
                          </w:tcPr>
                          <w:p w14:paraId="31D56D1C" w14:textId="0D7CA1D7" w:rsidR="002905DA" w:rsidRPr="0009712F" w:rsidRDefault="002905DA" w:rsidP="0009712F">
                            <w:pPr>
                              <w:pStyle w:val="NoSpacing"/>
                              <w:ind w:left="-3790" w:firstLine="3790"/>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b w:val="0"/>
                                <w:bCs w:val="0"/>
                                <w:sz w:val="20"/>
                                <w:szCs w:val="20"/>
                              </w:rPr>
                              <w:t>08 June 2021</w:t>
                            </w:r>
                          </w:p>
                        </w:tc>
                      </w:tr>
                      <w:tr w:rsidR="002905DA" w:rsidRPr="00D91A52" w14:paraId="7CAC566D" w14:textId="77777777" w:rsidTr="00D91A52">
                        <w:trPr>
                          <w:cnfStyle w:val="000000100000" w:firstRow="0" w:lastRow="0" w:firstColumn="0" w:lastColumn="0" w:oddVBand="0" w:evenVBand="0" w:oddHBand="1" w:evenHBand="0" w:firstRowFirstColumn="0" w:firstRowLastColumn="0" w:lastRowFirstColumn="0" w:lastRowLastColumn="0"/>
                          <w:trHeight w:val="391"/>
                        </w:trPr>
                        <w:tc>
                          <w:tcPr>
                            <w:cnfStyle w:val="001000000000" w:firstRow="0" w:lastRow="0" w:firstColumn="1" w:lastColumn="0" w:oddVBand="0" w:evenVBand="0" w:oddHBand="0" w:evenHBand="0" w:firstRowFirstColumn="0" w:firstRowLastColumn="0" w:lastRowFirstColumn="0" w:lastRowLastColumn="0"/>
                            <w:tcW w:w="2501"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7BD603FC" w14:textId="77777777" w:rsidR="002905DA" w:rsidRPr="00D91A52" w:rsidRDefault="002905DA" w:rsidP="00D91A52">
                            <w:pPr>
                              <w:pStyle w:val="NoSpacing"/>
                              <w:ind w:left="-3790" w:firstLine="3790"/>
                              <w:rPr>
                                <w:rFonts w:ascii="Arial" w:hAnsi="Arial" w:cs="Arial"/>
                                <w:b/>
                                <w:color w:val="FFFFFF" w:themeColor="background1"/>
                                <w:sz w:val="20"/>
                                <w:szCs w:val="20"/>
                              </w:rPr>
                            </w:pPr>
                            <w:r w:rsidRPr="00D91A52">
                              <w:rPr>
                                <w:rFonts w:ascii="Arial" w:hAnsi="Arial" w:cs="Arial"/>
                                <w:b/>
                                <w:color w:val="FFFFFF" w:themeColor="background1"/>
                                <w:sz w:val="20"/>
                                <w:szCs w:val="20"/>
                              </w:rPr>
                              <w:t>Document reference</w:t>
                            </w:r>
                          </w:p>
                        </w:tc>
                        <w:tc>
                          <w:tcPr>
                            <w:tcW w:w="2499"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5C63D341" w14:textId="77777777" w:rsidR="002905DA" w:rsidRPr="00D91A52" w:rsidRDefault="002905DA" w:rsidP="00D91A52">
                            <w:pPr>
                              <w:pStyle w:val="NoSpacing"/>
                              <w:ind w:left="-3790" w:firstLine="3790"/>
                              <w:cnfStyle w:val="000000100000" w:firstRow="0" w:lastRow="0" w:firstColumn="0" w:lastColumn="0" w:oddVBand="0" w:evenVBand="0" w:oddHBand="1" w:evenHBand="0" w:firstRowFirstColumn="0" w:firstRowLastColumn="0" w:lastRowFirstColumn="0" w:lastRowLastColumn="0"/>
                              <w:rPr>
                                <w:rFonts w:ascii="Arial" w:hAnsi="Arial" w:cs="Arial"/>
                                <w:color w:val="FFFFFF" w:themeColor="background1"/>
                                <w:sz w:val="20"/>
                                <w:szCs w:val="20"/>
                              </w:rPr>
                            </w:pPr>
                            <w:r>
                              <w:rPr>
                                <w:rFonts w:ascii="Arial" w:hAnsi="Arial" w:cs="Arial"/>
                                <w:color w:val="FFFFFF" w:themeColor="background1"/>
                                <w:sz w:val="20"/>
                                <w:szCs w:val="20"/>
                              </w:rPr>
                              <w:t>003552655</w:t>
                            </w:r>
                          </w:p>
                        </w:tc>
                      </w:tr>
                      <w:tr w:rsidR="002905DA" w:rsidRPr="00D91A52" w14:paraId="5F5B1491" w14:textId="77777777" w:rsidTr="00D91A52">
                        <w:trPr>
                          <w:cnfStyle w:val="000000010000" w:firstRow="0" w:lastRow="0" w:firstColumn="0" w:lastColumn="0" w:oddVBand="0" w:evenVBand="0" w:oddHBand="0" w:evenHBand="1" w:firstRowFirstColumn="0" w:firstRowLastColumn="0" w:lastRowFirstColumn="0" w:lastRowLastColumn="0"/>
                          <w:trHeight w:val="190"/>
                        </w:trPr>
                        <w:tc>
                          <w:tcPr>
                            <w:cnfStyle w:val="001000000000" w:firstRow="0" w:lastRow="0" w:firstColumn="1" w:lastColumn="0" w:oddVBand="0" w:evenVBand="0" w:oddHBand="0" w:evenHBand="0" w:firstRowFirstColumn="0" w:firstRowLastColumn="0" w:lastRowFirstColumn="0" w:lastRowLastColumn="0"/>
                            <w:tcW w:w="2501"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7A7C906D" w14:textId="77777777" w:rsidR="002905DA" w:rsidRPr="00D91A52" w:rsidRDefault="002905DA" w:rsidP="00D91A52">
                            <w:pPr>
                              <w:pStyle w:val="NoSpacing"/>
                              <w:ind w:left="-3790" w:firstLine="3790"/>
                              <w:rPr>
                                <w:rFonts w:ascii="Arial" w:hAnsi="Arial" w:cs="Arial"/>
                                <w:b/>
                                <w:color w:val="FFFFFF" w:themeColor="background1"/>
                                <w:sz w:val="20"/>
                                <w:szCs w:val="20"/>
                              </w:rPr>
                            </w:pPr>
                            <w:r w:rsidRPr="00D91A52">
                              <w:rPr>
                                <w:rFonts w:ascii="Arial" w:hAnsi="Arial" w:cs="Arial"/>
                                <w:b/>
                                <w:color w:val="FFFFFF" w:themeColor="background1"/>
                                <w:sz w:val="20"/>
                                <w:szCs w:val="20"/>
                              </w:rPr>
                              <w:t>Revision</w:t>
                            </w:r>
                          </w:p>
                        </w:tc>
                        <w:tc>
                          <w:tcPr>
                            <w:tcW w:w="2499"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17BD971E" w14:textId="7B340650" w:rsidR="002905DA" w:rsidRPr="00D91A52" w:rsidRDefault="002905DA" w:rsidP="00D91A52">
                            <w:pPr>
                              <w:pStyle w:val="NoSpacing"/>
                              <w:ind w:left="-3790" w:firstLine="3790"/>
                              <w:cnfStyle w:val="000000010000" w:firstRow="0" w:lastRow="0" w:firstColumn="0" w:lastColumn="0" w:oddVBand="0" w:evenVBand="0" w:oddHBand="0" w:evenHBand="1" w:firstRowFirstColumn="0" w:firstRowLastColumn="0" w:lastRowFirstColumn="0" w:lastRowLastColumn="0"/>
                              <w:rPr>
                                <w:rFonts w:ascii="Arial" w:hAnsi="Arial" w:cs="Arial"/>
                                <w:color w:val="FFFFFF" w:themeColor="background1"/>
                                <w:sz w:val="20"/>
                                <w:szCs w:val="20"/>
                              </w:rPr>
                            </w:pPr>
                            <w:r w:rsidRPr="00D91A52">
                              <w:rPr>
                                <w:rFonts w:ascii="Arial" w:hAnsi="Arial" w:cs="Arial"/>
                                <w:color w:val="FFFFFF" w:themeColor="background1"/>
                                <w:sz w:val="20"/>
                                <w:szCs w:val="20"/>
                              </w:rPr>
                              <w:t>0</w:t>
                            </w:r>
                            <w:r>
                              <w:rPr>
                                <w:rFonts w:ascii="Arial" w:hAnsi="Arial" w:cs="Arial"/>
                                <w:color w:val="FFFFFF" w:themeColor="background1"/>
                                <w:sz w:val="20"/>
                                <w:szCs w:val="20"/>
                              </w:rPr>
                              <w:t>6</w:t>
                            </w:r>
                          </w:p>
                        </w:tc>
                      </w:tr>
                    </w:tbl>
                    <w:p w14:paraId="4430E122" w14:textId="77777777" w:rsidR="002905DA" w:rsidRPr="00D91A52" w:rsidRDefault="002905DA" w:rsidP="00D91A52">
                      <w:pPr>
                        <w:rPr>
                          <w:color w:val="FFFFFF" w:themeColor="background1"/>
                          <w:sz w:val="28"/>
                          <w:szCs w:val="28"/>
                        </w:rPr>
                      </w:pPr>
                    </w:p>
                  </w:txbxContent>
                </v:textbox>
                <w10:wrap type="square"/>
              </v:shape>
            </w:pict>
          </mc:Fallback>
        </mc:AlternateContent>
      </w:r>
    </w:p>
    <w:p w14:paraId="06525E07" w14:textId="77777777" w:rsidR="00F73056" w:rsidRPr="00B91524" w:rsidRDefault="00F73056">
      <w:pPr>
        <w:spacing w:after="200" w:line="276" w:lineRule="auto"/>
        <w:sectPr w:rsidR="00F73056" w:rsidRPr="00B91524" w:rsidSect="00AB69EF">
          <w:headerReference w:type="default" r:id="rId12"/>
          <w:footerReference w:type="default" r:id="rId13"/>
          <w:pgSz w:w="11906" w:h="16838"/>
          <w:pgMar w:top="1134" w:right="1134" w:bottom="1077" w:left="1134" w:header="708" w:footer="680" w:gutter="0"/>
          <w:cols w:space="708"/>
          <w:docGrid w:linePitch="360"/>
        </w:sectPr>
      </w:pPr>
    </w:p>
    <w:tbl>
      <w:tblPr>
        <w:tblW w:w="9854" w:type="dxa"/>
        <w:tblLayout w:type="fixed"/>
        <w:tblLook w:val="04A0" w:firstRow="1" w:lastRow="0" w:firstColumn="1" w:lastColumn="0" w:noHBand="0" w:noVBand="1"/>
      </w:tblPr>
      <w:tblGrid>
        <w:gridCol w:w="1242"/>
        <w:gridCol w:w="1418"/>
        <w:gridCol w:w="448"/>
        <w:gridCol w:w="2387"/>
        <w:gridCol w:w="1298"/>
        <w:gridCol w:w="1608"/>
        <w:gridCol w:w="1453"/>
      </w:tblGrid>
      <w:tr w:rsidR="006F4BAE" w:rsidRPr="00B91524" w14:paraId="6E533BD5" w14:textId="77777777" w:rsidTr="00347A7E">
        <w:trPr>
          <w:trHeight w:val="20"/>
        </w:trPr>
        <w:tc>
          <w:tcPr>
            <w:tcW w:w="3108" w:type="dxa"/>
            <w:gridSpan w:val="3"/>
            <w:tcBorders>
              <w:top w:val="single" w:sz="4" w:space="0" w:color="FDC300" w:themeColor="accent3"/>
              <w:bottom w:val="single" w:sz="4" w:space="0" w:color="FDC300" w:themeColor="accent3"/>
            </w:tcBorders>
            <w:shd w:val="clear" w:color="auto" w:fill="FFF3CB" w:themeFill="accent3" w:themeFillTint="33"/>
          </w:tcPr>
          <w:p w14:paraId="20EDF0F6" w14:textId="77777777" w:rsidR="007056CD" w:rsidRPr="00B91524" w:rsidRDefault="006F4BAE" w:rsidP="007056CD">
            <w:pPr>
              <w:spacing w:before="60" w:after="60"/>
              <w:rPr>
                <w:rFonts w:cs="Arial"/>
                <w:b/>
                <w:sz w:val="18"/>
                <w:szCs w:val="18"/>
              </w:rPr>
            </w:pPr>
            <w:r w:rsidRPr="00B91524">
              <w:rPr>
                <w:rFonts w:cs="Arial"/>
                <w:b/>
                <w:sz w:val="18"/>
                <w:szCs w:val="18"/>
              </w:rPr>
              <w:lastRenderedPageBreak/>
              <w:t>Project</w:t>
            </w:r>
          </w:p>
        </w:tc>
        <w:tc>
          <w:tcPr>
            <w:tcW w:w="6746" w:type="dxa"/>
            <w:gridSpan w:val="4"/>
            <w:tcBorders>
              <w:top w:val="single" w:sz="4" w:space="0" w:color="FDC300" w:themeColor="accent3"/>
              <w:bottom w:val="single" w:sz="4" w:space="0" w:color="FDC300" w:themeColor="accent3"/>
            </w:tcBorders>
          </w:tcPr>
          <w:p w14:paraId="6341CC9B" w14:textId="77777777" w:rsidR="006F4BAE" w:rsidRPr="00B91524" w:rsidRDefault="002C420A" w:rsidP="007056CD">
            <w:pPr>
              <w:spacing w:before="60" w:after="60"/>
              <w:rPr>
                <w:rFonts w:cs="Arial"/>
                <w:sz w:val="18"/>
                <w:szCs w:val="18"/>
              </w:rPr>
            </w:pPr>
            <w:r w:rsidRPr="00B91524">
              <w:rPr>
                <w:rFonts w:cs="Arial"/>
                <w:sz w:val="18"/>
                <w:szCs w:val="18"/>
              </w:rPr>
              <w:t>Sofia</w:t>
            </w:r>
            <w:r w:rsidR="006F4BAE" w:rsidRPr="00B91524">
              <w:rPr>
                <w:rFonts w:cs="Arial"/>
                <w:sz w:val="18"/>
                <w:szCs w:val="18"/>
              </w:rPr>
              <w:t xml:space="preserve"> Offshore Wind Farm</w:t>
            </w:r>
          </w:p>
        </w:tc>
      </w:tr>
      <w:tr w:rsidR="006F4BAE" w:rsidRPr="00B91524" w14:paraId="75437BB6" w14:textId="77777777" w:rsidTr="00251863">
        <w:trPr>
          <w:trHeight w:val="57"/>
        </w:trPr>
        <w:tc>
          <w:tcPr>
            <w:tcW w:w="3108" w:type="dxa"/>
            <w:gridSpan w:val="3"/>
            <w:tcBorders>
              <w:top w:val="single" w:sz="4" w:space="0" w:color="FDC300" w:themeColor="accent3"/>
              <w:bottom w:val="single" w:sz="4" w:space="0" w:color="FDC300" w:themeColor="accent3"/>
            </w:tcBorders>
            <w:shd w:val="clear" w:color="auto" w:fill="FFF3CB" w:themeFill="accent3" w:themeFillTint="33"/>
          </w:tcPr>
          <w:p w14:paraId="0A2B5F4E" w14:textId="77777777" w:rsidR="006F4BAE" w:rsidRPr="00B91524" w:rsidRDefault="006F4BAE" w:rsidP="007056CD">
            <w:pPr>
              <w:spacing w:before="60" w:after="60"/>
              <w:rPr>
                <w:rFonts w:cs="Arial"/>
                <w:b/>
                <w:sz w:val="18"/>
                <w:szCs w:val="18"/>
              </w:rPr>
            </w:pPr>
            <w:r w:rsidRPr="00B91524">
              <w:rPr>
                <w:rFonts w:cs="Arial"/>
                <w:b/>
                <w:sz w:val="18"/>
                <w:szCs w:val="18"/>
              </w:rPr>
              <w:t>Sub-Project or Package</w:t>
            </w:r>
          </w:p>
        </w:tc>
        <w:tc>
          <w:tcPr>
            <w:tcW w:w="6746" w:type="dxa"/>
            <w:gridSpan w:val="4"/>
            <w:tcBorders>
              <w:top w:val="single" w:sz="4" w:space="0" w:color="FDC300" w:themeColor="accent3"/>
              <w:bottom w:val="single" w:sz="4" w:space="0" w:color="FDC300" w:themeColor="accent3"/>
            </w:tcBorders>
          </w:tcPr>
          <w:p w14:paraId="3CF3EFCE" w14:textId="77777777" w:rsidR="006F4BAE" w:rsidRPr="00B91524" w:rsidRDefault="00817FD7" w:rsidP="007056CD">
            <w:pPr>
              <w:spacing w:before="60" w:after="60"/>
              <w:rPr>
                <w:rFonts w:cs="Arial"/>
                <w:sz w:val="18"/>
                <w:szCs w:val="18"/>
              </w:rPr>
            </w:pPr>
            <w:r w:rsidRPr="00B91524">
              <w:rPr>
                <w:rFonts w:cs="Arial"/>
                <w:sz w:val="18"/>
                <w:szCs w:val="18"/>
              </w:rPr>
              <w:t>Consents</w:t>
            </w:r>
          </w:p>
        </w:tc>
      </w:tr>
      <w:tr w:rsidR="00CE0DDA" w:rsidRPr="00B91524" w14:paraId="62B942A9" w14:textId="77777777" w:rsidTr="00251863">
        <w:trPr>
          <w:trHeight w:val="57"/>
        </w:trPr>
        <w:tc>
          <w:tcPr>
            <w:tcW w:w="3108" w:type="dxa"/>
            <w:gridSpan w:val="3"/>
            <w:tcBorders>
              <w:top w:val="single" w:sz="4" w:space="0" w:color="FDC300" w:themeColor="accent3"/>
              <w:bottom w:val="single" w:sz="4" w:space="0" w:color="FDC300" w:themeColor="accent3"/>
            </w:tcBorders>
            <w:shd w:val="clear" w:color="auto" w:fill="FFF3CB" w:themeFill="accent3" w:themeFillTint="33"/>
          </w:tcPr>
          <w:p w14:paraId="38EDF911" w14:textId="77777777" w:rsidR="00CE0DDA" w:rsidRPr="00B91524" w:rsidRDefault="00CE0DDA" w:rsidP="007056CD">
            <w:pPr>
              <w:spacing w:before="60" w:after="60"/>
              <w:rPr>
                <w:rFonts w:cs="Arial"/>
                <w:b/>
                <w:sz w:val="18"/>
                <w:szCs w:val="18"/>
              </w:rPr>
            </w:pPr>
            <w:r w:rsidRPr="00B91524">
              <w:rPr>
                <w:rFonts w:cs="Arial"/>
                <w:b/>
                <w:sz w:val="18"/>
                <w:szCs w:val="18"/>
              </w:rPr>
              <w:t xml:space="preserve">Document Title </w:t>
            </w:r>
          </w:p>
        </w:tc>
        <w:tc>
          <w:tcPr>
            <w:tcW w:w="6746" w:type="dxa"/>
            <w:gridSpan w:val="4"/>
            <w:tcBorders>
              <w:top w:val="single" w:sz="4" w:space="0" w:color="FDC300" w:themeColor="accent3"/>
              <w:bottom w:val="single" w:sz="4" w:space="0" w:color="FDC300" w:themeColor="accent3"/>
            </w:tcBorders>
          </w:tcPr>
          <w:p w14:paraId="1C78D612" w14:textId="6CE88CD5" w:rsidR="00CE0DDA" w:rsidRPr="00B91524" w:rsidRDefault="008B537C" w:rsidP="0073012A">
            <w:pPr>
              <w:spacing w:before="60" w:after="60"/>
              <w:rPr>
                <w:rFonts w:cs="Arial"/>
                <w:sz w:val="18"/>
                <w:szCs w:val="18"/>
              </w:rPr>
            </w:pPr>
            <w:r w:rsidRPr="00B91524">
              <w:rPr>
                <w:rFonts w:cs="Arial"/>
                <w:sz w:val="18"/>
                <w:szCs w:val="18"/>
              </w:rPr>
              <w:t>Detailed Construction and Monitoring Programme</w:t>
            </w:r>
            <w:r w:rsidR="00F63B2D" w:rsidRPr="00B91524">
              <w:rPr>
                <w:rFonts w:cs="Arial"/>
                <w:sz w:val="18"/>
                <w:szCs w:val="18"/>
              </w:rPr>
              <w:t xml:space="preserve"> Benthic Monitoring Plan</w:t>
            </w:r>
          </w:p>
        </w:tc>
      </w:tr>
      <w:tr w:rsidR="006F4BAE" w:rsidRPr="00B91524" w14:paraId="0C2632C3" w14:textId="77777777" w:rsidTr="00251863">
        <w:trPr>
          <w:trHeight w:val="57"/>
        </w:trPr>
        <w:tc>
          <w:tcPr>
            <w:tcW w:w="3108" w:type="dxa"/>
            <w:gridSpan w:val="3"/>
            <w:tcBorders>
              <w:top w:val="single" w:sz="4" w:space="0" w:color="FDC300" w:themeColor="accent3"/>
              <w:bottom w:val="single" w:sz="4" w:space="0" w:color="FDC300" w:themeColor="accent3"/>
            </w:tcBorders>
            <w:shd w:val="clear" w:color="auto" w:fill="FFF3CB" w:themeFill="accent3" w:themeFillTint="33"/>
          </w:tcPr>
          <w:p w14:paraId="783F2A3A" w14:textId="77777777" w:rsidR="006F4BAE" w:rsidRPr="00B91524" w:rsidRDefault="006F4BAE" w:rsidP="007056CD">
            <w:pPr>
              <w:spacing w:before="60" w:after="60"/>
              <w:rPr>
                <w:rFonts w:cs="Arial"/>
                <w:b/>
                <w:sz w:val="18"/>
                <w:szCs w:val="18"/>
              </w:rPr>
            </w:pPr>
            <w:r w:rsidRPr="00B91524">
              <w:rPr>
                <w:rFonts w:cs="Arial"/>
                <w:b/>
                <w:sz w:val="18"/>
                <w:szCs w:val="18"/>
              </w:rPr>
              <w:t xml:space="preserve">Document </w:t>
            </w:r>
            <w:r w:rsidR="004C252C" w:rsidRPr="00B91524">
              <w:rPr>
                <w:rFonts w:cs="Arial"/>
                <w:b/>
                <w:sz w:val="18"/>
                <w:szCs w:val="18"/>
              </w:rPr>
              <w:t>Reference</w:t>
            </w:r>
          </w:p>
        </w:tc>
        <w:tc>
          <w:tcPr>
            <w:tcW w:w="6746" w:type="dxa"/>
            <w:gridSpan w:val="4"/>
            <w:tcBorders>
              <w:top w:val="single" w:sz="4" w:space="0" w:color="FDC300" w:themeColor="accent3"/>
              <w:bottom w:val="single" w:sz="4" w:space="0" w:color="FDC300" w:themeColor="accent3"/>
            </w:tcBorders>
          </w:tcPr>
          <w:p w14:paraId="2A43F54C" w14:textId="77777777" w:rsidR="006F4BAE" w:rsidRPr="00B91524" w:rsidRDefault="004431B7" w:rsidP="005F71FB">
            <w:pPr>
              <w:spacing w:before="60" w:after="60"/>
              <w:rPr>
                <w:rFonts w:cs="Arial"/>
                <w:sz w:val="18"/>
                <w:szCs w:val="18"/>
              </w:rPr>
            </w:pPr>
            <w:r w:rsidRPr="00B91524">
              <w:rPr>
                <w:rFonts w:cs="Arial"/>
                <w:sz w:val="18"/>
                <w:szCs w:val="18"/>
              </w:rPr>
              <w:t>003552655</w:t>
            </w:r>
          </w:p>
        </w:tc>
      </w:tr>
      <w:tr w:rsidR="004C252C" w:rsidRPr="00B91524" w14:paraId="4DFE6C37" w14:textId="77777777" w:rsidTr="00251863">
        <w:trPr>
          <w:trHeight w:val="57"/>
        </w:trPr>
        <w:tc>
          <w:tcPr>
            <w:tcW w:w="3108" w:type="dxa"/>
            <w:gridSpan w:val="3"/>
            <w:tcBorders>
              <w:top w:val="single" w:sz="4" w:space="0" w:color="FDC300" w:themeColor="accent3"/>
              <w:bottom w:val="single" w:sz="4" w:space="0" w:color="FDC300" w:themeColor="accent3"/>
            </w:tcBorders>
            <w:shd w:val="clear" w:color="auto" w:fill="FFF3CB" w:themeFill="accent3" w:themeFillTint="33"/>
          </w:tcPr>
          <w:p w14:paraId="307627A0" w14:textId="77777777" w:rsidR="004C252C" w:rsidRPr="00B91524" w:rsidRDefault="004C252C" w:rsidP="007056CD">
            <w:pPr>
              <w:spacing w:before="60" w:after="60"/>
              <w:rPr>
                <w:rFonts w:cs="Arial"/>
                <w:b/>
                <w:sz w:val="18"/>
                <w:szCs w:val="18"/>
              </w:rPr>
            </w:pPr>
            <w:r w:rsidRPr="00B91524">
              <w:rPr>
                <w:rFonts w:cs="Arial"/>
                <w:b/>
                <w:sz w:val="18"/>
                <w:szCs w:val="18"/>
              </w:rPr>
              <w:t xml:space="preserve">Revision </w:t>
            </w:r>
          </w:p>
        </w:tc>
        <w:tc>
          <w:tcPr>
            <w:tcW w:w="6746" w:type="dxa"/>
            <w:gridSpan w:val="4"/>
            <w:tcBorders>
              <w:top w:val="single" w:sz="4" w:space="0" w:color="FDC300" w:themeColor="accent3"/>
              <w:bottom w:val="single" w:sz="4" w:space="0" w:color="FDC300" w:themeColor="accent3"/>
            </w:tcBorders>
          </w:tcPr>
          <w:p w14:paraId="3FDAF539" w14:textId="15B16389" w:rsidR="004C252C" w:rsidRPr="00B91524" w:rsidRDefault="004431B7" w:rsidP="005F71FB">
            <w:pPr>
              <w:spacing w:before="60" w:after="60"/>
              <w:rPr>
                <w:rFonts w:cs="Arial"/>
                <w:sz w:val="18"/>
                <w:szCs w:val="18"/>
              </w:rPr>
            </w:pPr>
            <w:r w:rsidRPr="00B91524">
              <w:rPr>
                <w:rFonts w:cs="Arial"/>
                <w:sz w:val="18"/>
                <w:szCs w:val="18"/>
              </w:rPr>
              <w:t>0</w:t>
            </w:r>
            <w:r w:rsidR="002905DA">
              <w:rPr>
                <w:rFonts w:cs="Arial"/>
                <w:sz w:val="18"/>
                <w:szCs w:val="18"/>
              </w:rPr>
              <w:t>6</w:t>
            </w:r>
          </w:p>
        </w:tc>
      </w:tr>
      <w:tr w:rsidR="006F4BAE" w:rsidRPr="00B91524" w14:paraId="03667962" w14:textId="77777777" w:rsidTr="00347A7E">
        <w:trPr>
          <w:trHeight w:val="57"/>
        </w:trPr>
        <w:tc>
          <w:tcPr>
            <w:tcW w:w="3108" w:type="dxa"/>
            <w:gridSpan w:val="3"/>
            <w:tcBorders>
              <w:top w:val="single" w:sz="4" w:space="0" w:color="FDC300" w:themeColor="accent3"/>
              <w:bottom w:val="single" w:sz="4" w:space="0" w:color="FDC300" w:themeColor="accent3"/>
            </w:tcBorders>
            <w:shd w:val="clear" w:color="auto" w:fill="FFF3CB" w:themeFill="accent3" w:themeFillTint="33"/>
          </w:tcPr>
          <w:p w14:paraId="348A5206" w14:textId="77777777" w:rsidR="006F4BAE" w:rsidRPr="00B91524" w:rsidRDefault="006F4BAE" w:rsidP="007056CD">
            <w:pPr>
              <w:spacing w:before="60" w:after="60"/>
              <w:rPr>
                <w:rFonts w:cs="Arial"/>
                <w:b/>
                <w:sz w:val="18"/>
                <w:szCs w:val="18"/>
              </w:rPr>
            </w:pPr>
            <w:r w:rsidRPr="00B91524">
              <w:rPr>
                <w:rFonts w:cs="Arial"/>
                <w:b/>
                <w:sz w:val="18"/>
                <w:szCs w:val="18"/>
              </w:rPr>
              <w:t>Supplier Reference No</w:t>
            </w:r>
          </w:p>
        </w:tc>
        <w:tc>
          <w:tcPr>
            <w:tcW w:w="6746" w:type="dxa"/>
            <w:gridSpan w:val="4"/>
            <w:tcBorders>
              <w:top w:val="single" w:sz="4" w:space="0" w:color="FDC300" w:themeColor="accent3"/>
              <w:bottom w:val="single" w:sz="4" w:space="0" w:color="FDC300" w:themeColor="accent3"/>
            </w:tcBorders>
          </w:tcPr>
          <w:p w14:paraId="39797411" w14:textId="77777777" w:rsidR="006F4BAE" w:rsidRPr="00B91524" w:rsidRDefault="004431B7" w:rsidP="007056CD">
            <w:pPr>
              <w:spacing w:before="60" w:after="60"/>
              <w:rPr>
                <w:rFonts w:cs="Arial"/>
                <w:sz w:val="18"/>
                <w:szCs w:val="18"/>
              </w:rPr>
            </w:pPr>
            <w:r w:rsidRPr="00B91524">
              <w:rPr>
                <w:rFonts w:cs="Arial"/>
                <w:sz w:val="18"/>
                <w:szCs w:val="18"/>
              </w:rPr>
              <w:t>-</w:t>
            </w:r>
          </w:p>
        </w:tc>
      </w:tr>
      <w:tr w:rsidR="00CE0DDA" w:rsidRPr="00B91524" w14:paraId="21280A4A" w14:textId="77777777" w:rsidTr="00347A7E">
        <w:tc>
          <w:tcPr>
            <w:tcW w:w="9854" w:type="dxa"/>
            <w:gridSpan w:val="7"/>
            <w:tcBorders>
              <w:top w:val="single" w:sz="4" w:space="0" w:color="FDC300" w:themeColor="accent3"/>
            </w:tcBorders>
          </w:tcPr>
          <w:p w14:paraId="0D4B69D7" w14:textId="77777777" w:rsidR="00CE0DDA" w:rsidRPr="00B91524" w:rsidRDefault="004445A5" w:rsidP="004468F3">
            <w:pPr>
              <w:spacing w:before="120"/>
              <w:rPr>
                <w:rFonts w:cs="Arial"/>
                <w:sz w:val="18"/>
                <w:szCs w:val="18"/>
              </w:rPr>
            </w:pPr>
            <w:r w:rsidRPr="00B91524">
              <w:rPr>
                <w:rFonts w:cs="Arial"/>
                <w:sz w:val="18"/>
                <w:szCs w:val="18"/>
              </w:rPr>
              <w:t xml:space="preserve">This document and any information therein are confidential property of </w:t>
            </w:r>
            <w:r w:rsidR="00F764D2" w:rsidRPr="00B91524">
              <w:rPr>
                <w:rFonts w:cs="Arial"/>
                <w:sz w:val="18"/>
                <w:szCs w:val="18"/>
              </w:rPr>
              <w:t xml:space="preserve">Sofia Offshore Wind Farm Limited </w:t>
            </w:r>
            <w:r w:rsidR="004878A0" w:rsidRPr="00B91524">
              <w:rPr>
                <w:rFonts w:cs="Arial"/>
                <w:sz w:val="18"/>
                <w:szCs w:val="18"/>
              </w:rPr>
              <w:t xml:space="preserve"> </w:t>
            </w:r>
            <w:r w:rsidRPr="00B91524">
              <w:rPr>
                <w:rFonts w:cs="Arial"/>
                <w:sz w:val="18"/>
                <w:szCs w:val="18"/>
              </w:rPr>
              <w:t>and without infringement neither the whole nor any extract may be disclosed, loaned, copied or used for manufacturing, provision of services or other purposes whatsoever with</w:t>
            </w:r>
            <w:r w:rsidR="00A55D16" w:rsidRPr="00B91524">
              <w:rPr>
                <w:rFonts w:cs="Arial"/>
                <w:sz w:val="18"/>
                <w:szCs w:val="18"/>
              </w:rPr>
              <w:t>out prior written consent of</w:t>
            </w:r>
            <w:r w:rsidRPr="00B91524">
              <w:rPr>
                <w:rFonts w:cs="Arial"/>
                <w:sz w:val="18"/>
                <w:szCs w:val="18"/>
              </w:rPr>
              <w:t xml:space="preserve"> </w:t>
            </w:r>
            <w:r w:rsidR="00660AD8" w:rsidRPr="00B91524">
              <w:rPr>
                <w:rFonts w:cs="Arial"/>
                <w:sz w:val="18"/>
                <w:szCs w:val="18"/>
              </w:rPr>
              <w:t>Sofia Offshore Wind Farm Limited</w:t>
            </w:r>
            <w:r w:rsidRPr="00B91524">
              <w:rPr>
                <w:rFonts w:cs="Arial"/>
                <w:sz w:val="18"/>
                <w:szCs w:val="18"/>
              </w:rPr>
              <w:t>, and no liability is accepted for loss or damage from any cause whatsoeve</w:t>
            </w:r>
            <w:r w:rsidR="00A55D16" w:rsidRPr="00B91524">
              <w:rPr>
                <w:rFonts w:cs="Arial"/>
                <w:sz w:val="18"/>
                <w:szCs w:val="18"/>
              </w:rPr>
              <w:t xml:space="preserve">r from the use of the document. </w:t>
            </w:r>
            <w:r w:rsidR="00660AD8" w:rsidRPr="00B91524">
              <w:rPr>
                <w:rFonts w:cs="Arial"/>
                <w:sz w:val="18"/>
                <w:szCs w:val="18"/>
              </w:rPr>
              <w:t xml:space="preserve">Sofia Offshore Wind Farm Limited </w:t>
            </w:r>
            <w:r w:rsidRPr="00B91524">
              <w:rPr>
                <w:rFonts w:cs="Arial"/>
                <w:sz w:val="18"/>
                <w:szCs w:val="18"/>
              </w:rPr>
              <w:t>retains the right to alter the document at any time unless a written statement to the contrary has been appended</w:t>
            </w:r>
            <w:r w:rsidR="00A55D16" w:rsidRPr="00B91524">
              <w:rPr>
                <w:rFonts w:cs="Arial"/>
                <w:sz w:val="18"/>
                <w:szCs w:val="18"/>
              </w:rPr>
              <w:t>.</w:t>
            </w:r>
          </w:p>
        </w:tc>
      </w:tr>
      <w:tr w:rsidR="00EB36CF" w:rsidRPr="00B91524" w14:paraId="0B97D40D" w14:textId="77777777" w:rsidTr="00347A7E">
        <w:tc>
          <w:tcPr>
            <w:tcW w:w="9854" w:type="dxa"/>
            <w:gridSpan w:val="7"/>
            <w:tcBorders>
              <w:bottom w:val="single" w:sz="4" w:space="0" w:color="FDC300" w:themeColor="accent3"/>
            </w:tcBorders>
          </w:tcPr>
          <w:p w14:paraId="181F80AB" w14:textId="77777777" w:rsidR="00EB36CF" w:rsidRPr="00B91524" w:rsidRDefault="00EB36CF" w:rsidP="004468F3">
            <w:pPr>
              <w:spacing w:before="120"/>
              <w:rPr>
                <w:rFonts w:cs="Arial"/>
                <w:sz w:val="18"/>
                <w:szCs w:val="18"/>
              </w:rPr>
            </w:pPr>
          </w:p>
        </w:tc>
      </w:tr>
      <w:tr w:rsidR="006F4BAE" w:rsidRPr="00B91524" w14:paraId="3E2D2DB8" w14:textId="77777777" w:rsidTr="00347A7E">
        <w:tc>
          <w:tcPr>
            <w:tcW w:w="1242" w:type="dxa"/>
            <w:tcBorders>
              <w:top w:val="single" w:sz="4" w:space="0" w:color="FDC300" w:themeColor="accent3"/>
              <w:bottom w:val="single" w:sz="4" w:space="0" w:color="FDC300" w:themeColor="accent3"/>
            </w:tcBorders>
            <w:shd w:val="clear" w:color="auto" w:fill="FFF3CB" w:themeFill="accent3" w:themeFillTint="33"/>
          </w:tcPr>
          <w:p w14:paraId="5AAEA57A" w14:textId="77777777" w:rsidR="006F4BAE" w:rsidRPr="00B91524" w:rsidRDefault="006F4BAE" w:rsidP="00E6509D">
            <w:pPr>
              <w:spacing w:before="60" w:after="60"/>
              <w:jc w:val="center"/>
              <w:rPr>
                <w:rFonts w:cs="Arial"/>
                <w:b/>
                <w:sz w:val="18"/>
                <w:szCs w:val="18"/>
              </w:rPr>
            </w:pPr>
            <w:r w:rsidRPr="00B91524">
              <w:rPr>
                <w:rFonts w:cs="Arial"/>
                <w:b/>
                <w:sz w:val="18"/>
                <w:szCs w:val="18"/>
              </w:rPr>
              <w:t>Rev</w:t>
            </w:r>
            <w:r w:rsidR="00684530" w:rsidRPr="00B91524">
              <w:rPr>
                <w:rFonts w:cs="Arial"/>
                <w:b/>
                <w:sz w:val="18"/>
                <w:szCs w:val="18"/>
              </w:rPr>
              <w:t>ision</w:t>
            </w:r>
          </w:p>
        </w:tc>
        <w:tc>
          <w:tcPr>
            <w:tcW w:w="1418" w:type="dxa"/>
            <w:tcBorders>
              <w:top w:val="single" w:sz="4" w:space="0" w:color="FDC300" w:themeColor="accent3"/>
              <w:bottom w:val="single" w:sz="4" w:space="0" w:color="FDC300" w:themeColor="accent3"/>
            </w:tcBorders>
            <w:shd w:val="clear" w:color="auto" w:fill="FFF3CB" w:themeFill="accent3" w:themeFillTint="33"/>
          </w:tcPr>
          <w:p w14:paraId="790F2058" w14:textId="77777777" w:rsidR="006F4BAE" w:rsidRPr="00B91524" w:rsidRDefault="006F4BAE" w:rsidP="00E6509D">
            <w:pPr>
              <w:spacing w:before="60" w:after="60"/>
              <w:jc w:val="center"/>
              <w:rPr>
                <w:rFonts w:cs="Arial"/>
                <w:b/>
                <w:sz w:val="18"/>
                <w:szCs w:val="18"/>
              </w:rPr>
            </w:pPr>
            <w:r w:rsidRPr="00B91524">
              <w:rPr>
                <w:rFonts w:cs="Arial"/>
                <w:b/>
                <w:sz w:val="18"/>
                <w:szCs w:val="18"/>
              </w:rPr>
              <w:t>Date</w:t>
            </w:r>
          </w:p>
        </w:tc>
        <w:tc>
          <w:tcPr>
            <w:tcW w:w="2835" w:type="dxa"/>
            <w:gridSpan w:val="2"/>
            <w:tcBorders>
              <w:top w:val="single" w:sz="4" w:space="0" w:color="FDC300" w:themeColor="accent3"/>
              <w:bottom w:val="single" w:sz="4" w:space="0" w:color="FDC300" w:themeColor="accent3"/>
            </w:tcBorders>
            <w:shd w:val="clear" w:color="auto" w:fill="FFF3CB" w:themeFill="accent3" w:themeFillTint="33"/>
          </w:tcPr>
          <w:p w14:paraId="5458C6CE" w14:textId="77777777" w:rsidR="006F4BAE" w:rsidRPr="00B91524" w:rsidRDefault="006F4BAE" w:rsidP="00E6509D">
            <w:pPr>
              <w:spacing w:before="60" w:after="60"/>
              <w:jc w:val="center"/>
              <w:rPr>
                <w:rFonts w:cs="Arial"/>
                <w:b/>
                <w:sz w:val="18"/>
                <w:szCs w:val="18"/>
              </w:rPr>
            </w:pPr>
            <w:r w:rsidRPr="00B91524">
              <w:rPr>
                <w:rFonts w:cs="Arial"/>
                <w:b/>
                <w:sz w:val="18"/>
                <w:szCs w:val="18"/>
              </w:rPr>
              <w:t>Status/Reason for Issue</w:t>
            </w:r>
          </w:p>
        </w:tc>
        <w:tc>
          <w:tcPr>
            <w:tcW w:w="1298" w:type="dxa"/>
            <w:tcBorders>
              <w:top w:val="single" w:sz="4" w:space="0" w:color="FDC300" w:themeColor="accent3"/>
              <w:bottom w:val="single" w:sz="4" w:space="0" w:color="FDC300" w:themeColor="accent3"/>
            </w:tcBorders>
            <w:shd w:val="clear" w:color="auto" w:fill="FFF3CB" w:themeFill="accent3" w:themeFillTint="33"/>
          </w:tcPr>
          <w:p w14:paraId="6CCFA9F8" w14:textId="77777777" w:rsidR="006F4BAE" w:rsidRPr="00B91524" w:rsidRDefault="002D3834" w:rsidP="00E6509D">
            <w:pPr>
              <w:spacing w:before="60" w:after="60"/>
              <w:jc w:val="center"/>
              <w:rPr>
                <w:rFonts w:cs="Arial"/>
                <w:b/>
                <w:sz w:val="18"/>
                <w:szCs w:val="18"/>
              </w:rPr>
            </w:pPr>
            <w:r w:rsidRPr="00B91524">
              <w:rPr>
                <w:rFonts w:cs="Arial"/>
                <w:b/>
                <w:sz w:val="18"/>
                <w:szCs w:val="18"/>
              </w:rPr>
              <w:t>Originator</w:t>
            </w:r>
          </w:p>
        </w:tc>
        <w:tc>
          <w:tcPr>
            <w:tcW w:w="1608" w:type="dxa"/>
            <w:tcBorders>
              <w:top w:val="single" w:sz="4" w:space="0" w:color="FDC300" w:themeColor="accent3"/>
              <w:bottom w:val="single" w:sz="4" w:space="0" w:color="FDC300" w:themeColor="accent3"/>
            </w:tcBorders>
            <w:shd w:val="clear" w:color="auto" w:fill="FFF3CB" w:themeFill="accent3" w:themeFillTint="33"/>
          </w:tcPr>
          <w:p w14:paraId="75B886D4" w14:textId="77777777" w:rsidR="006F4BAE" w:rsidRPr="00B91524" w:rsidRDefault="006F4BAE" w:rsidP="00E6509D">
            <w:pPr>
              <w:spacing w:before="60" w:after="60"/>
              <w:jc w:val="center"/>
              <w:rPr>
                <w:rFonts w:cs="Arial"/>
                <w:b/>
                <w:sz w:val="18"/>
                <w:szCs w:val="18"/>
              </w:rPr>
            </w:pPr>
            <w:r w:rsidRPr="00B91524">
              <w:rPr>
                <w:rFonts w:cs="Arial"/>
                <w:b/>
                <w:sz w:val="18"/>
                <w:szCs w:val="18"/>
              </w:rPr>
              <w:t>Checked</w:t>
            </w:r>
          </w:p>
        </w:tc>
        <w:tc>
          <w:tcPr>
            <w:tcW w:w="1453" w:type="dxa"/>
            <w:tcBorders>
              <w:top w:val="single" w:sz="4" w:space="0" w:color="FDC300" w:themeColor="accent3"/>
              <w:bottom w:val="single" w:sz="4" w:space="0" w:color="FDC300" w:themeColor="accent3"/>
            </w:tcBorders>
            <w:shd w:val="clear" w:color="auto" w:fill="FFF3CB" w:themeFill="accent3" w:themeFillTint="33"/>
          </w:tcPr>
          <w:p w14:paraId="4319570C" w14:textId="77777777" w:rsidR="006F4BAE" w:rsidRPr="00B91524" w:rsidRDefault="006F4BAE" w:rsidP="00E6509D">
            <w:pPr>
              <w:spacing w:before="60" w:after="60"/>
              <w:jc w:val="center"/>
              <w:rPr>
                <w:rFonts w:cs="Arial"/>
                <w:b/>
                <w:sz w:val="18"/>
                <w:szCs w:val="18"/>
              </w:rPr>
            </w:pPr>
            <w:r w:rsidRPr="00B91524">
              <w:rPr>
                <w:rFonts w:cs="Arial"/>
                <w:b/>
                <w:sz w:val="18"/>
                <w:szCs w:val="18"/>
              </w:rPr>
              <w:t>Approved</w:t>
            </w:r>
          </w:p>
        </w:tc>
      </w:tr>
      <w:tr w:rsidR="006F4BAE" w:rsidRPr="00B91524" w14:paraId="7359A394" w14:textId="77777777" w:rsidTr="00251863">
        <w:tc>
          <w:tcPr>
            <w:tcW w:w="1242" w:type="dxa"/>
            <w:tcBorders>
              <w:top w:val="single" w:sz="4" w:space="0" w:color="FDC300" w:themeColor="accent3"/>
              <w:bottom w:val="single" w:sz="4" w:space="0" w:color="FDC300" w:themeColor="accent3"/>
            </w:tcBorders>
          </w:tcPr>
          <w:p w14:paraId="663FB4D2" w14:textId="77777777" w:rsidR="006F4BAE" w:rsidRPr="00B91524" w:rsidRDefault="00684530" w:rsidP="00E6509D">
            <w:pPr>
              <w:spacing w:before="60" w:after="60"/>
              <w:jc w:val="center"/>
              <w:rPr>
                <w:rFonts w:cs="Arial"/>
                <w:sz w:val="18"/>
                <w:szCs w:val="18"/>
              </w:rPr>
            </w:pPr>
            <w:r w:rsidRPr="00B91524">
              <w:rPr>
                <w:rFonts w:cs="Arial"/>
                <w:sz w:val="18"/>
                <w:szCs w:val="18"/>
              </w:rPr>
              <w:t>01</w:t>
            </w:r>
          </w:p>
        </w:tc>
        <w:tc>
          <w:tcPr>
            <w:tcW w:w="1418" w:type="dxa"/>
            <w:tcBorders>
              <w:top w:val="single" w:sz="4" w:space="0" w:color="FDC300" w:themeColor="accent3"/>
              <w:bottom w:val="single" w:sz="4" w:space="0" w:color="FDC300" w:themeColor="accent3"/>
            </w:tcBorders>
          </w:tcPr>
          <w:p w14:paraId="3508D958" w14:textId="457F564E" w:rsidR="006F4BAE" w:rsidRPr="00B91524" w:rsidRDefault="009D42E8" w:rsidP="00E6509D">
            <w:pPr>
              <w:spacing w:before="60" w:after="60"/>
              <w:jc w:val="center"/>
              <w:rPr>
                <w:rFonts w:cs="Arial"/>
                <w:sz w:val="18"/>
                <w:szCs w:val="18"/>
              </w:rPr>
            </w:pPr>
            <w:r w:rsidRPr="00B91524">
              <w:rPr>
                <w:rFonts w:cs="Arial"/>
                <w:sz w:val="18"/>
                <w:szCs w:val="18"/>
              </w:rPr>
              <w:t>0</w:t>
            </w:r>
            <w:r w:rsidR="007B42F3" w:rsidRPr="00B91524">
              <w:rPr>
                <w:rFonts w:cs="Arial"/>
                <w:sz w:val="18"/>
                <w:szCs w:val="18"/>
              </w:rPr>
              <w:t>9</w:t>
            </w:r>
            <w:r w:rsidRPr="00B91524">
              <w:rPr>
                <w:rFonts w:cs="Arial"/>
                <w:sz w:val="18"/>
                <w:szCs w:val="18"/>
              </w:rPr>
              <w:t>/09/2020</w:t>
            </w:r>
          </w:p>
        </w:tc>
        <w:tc>
          <w:tcPr>
            <w:tcW w:w="2835" w:type="dxa"/>
            <w:gridSpan w:val="2"/>
            <w:tcBorders>
              <w:top w:val="single" w:sz="4" w:space="0" w:color="FDC300" w:themeColor="accent3"/>
              <w:bottom w:val="single" w:sz="4" w:space="0" w:color="FDC300" w:themeColor="accent3"/>
            </w:tcBorders>
          </w:tcPr>
          <w:p w14:paraId="2F86E4E1" w14:textId="77777777" w:rsidR="006F4BAE" w:rsidRPr="00B91524" w:rsidRDefault="004431B7" w:rsidP="00E6509D">
            <w:pPr>
              <w:spacing w:before="60" w:after="60"/>
              <w:jc w:val="center"/>
              <w:rPr>
                <w:rFonts w:cs="Arial"/>
                <w:sz w:val="18"/>
                <w:szCs w:val="18"/>
              </w:rPr>
            </w:pPr>
            <w:r w:rsidRPr="00B91524">
              <w:rPr>
                <w:rFonts w:cs="Arial"/>
                <w:sz w:val="18"/>
                <w:szCs w:val="18"/>
              </w:rPr>
              <w:t>For submission to MMO for approval</w:t>
            </w:r>
          </w:p>
        </w:tc>
        <w:tc>
          <w:tcPr>
            <w:tcW w:w="1298" w:type="dxa"/>
            <w:tcBorders>
              <w:top w:val="single" w:sz="4" w:space="0" w:color="FDC300" w:themeColor="accent3"/>
              <w:bottom w:val="single" w:sz="4" w:space="0" w:color="FDC300" w:themeColor="accent3"/>
            </w:tcBorders>
          </w:tcPr>
          <w:p w14:paraId="65075265" w14:textId="165B9C17" w:rsidR="006F4BAE" w:rsidRPr="00B91524" w:rsidRDefault="004431B7" w:rsidP="00E6509D">
            <w:pPr>
              <w:spacing w:before="60" w:after="60"/>
              <w:jc w:val="center"/>
              <w:rPr>
                <w:rFonts w:cs="Arial"/>
                <w:sz w:val="18"/>
                <w:szCs w:val="18"/>
              </w:rPr>
            </w:pPr>
            <w:r w:rsidRPr="00B91524">
              <w:rPr>
                <w:rFonts w:cs="Arial"/>
                <w:sz w:val="18"/>
                <w:szCs w:val="18"/>
              </w:rPr>
              <w:t>Ross Griffin (Ocean Ecology Limited)</w:t>
            </w:r>
          </w:p>
        </w:tc>
        <w:tc>
          <w:tcPr>
            <w:tcW w:w="1608" w:type="dxa"/>
            <w:tcBorders>
              <w:top w:val="single" w:sz="4" w:space="0" w:color="FDC300" w:themeColor="accent3"/>
              <w:bottom w:val="single" w:sz="4" w:space="0" w:color="FDC300" w:themeColor="accent3"/>
            </w:tcBorders>
          </w:tcPr>
          <w:p w14:paraId="64F0D18B" w14:textId="4ACF6C57" w:rsidR="006F4BAE" w:rsidRPr="00B91524" w:rsidRDefault="00F63B2D" w:rsidP="00E6509D">
            <w:pPr>
              <w:spacing w:before="60" w:after="60"/>
              <w:jc w:val="center"/>
              <w:rPr>
                <w:rFonts w:cs="Arial"/>
                <w:sz w:val="18"/>
                <w:szCs w:val="18"/>
              </w:rPr>
            </w:pPr>
            <w:r w:rsidRPr="00B91524">
              <w:rPr>
                <w:rFonts w:cs="Arial"/>
                <w:sz w:val="18"/>
                <w:szCs w:val="18"/>
              </w:rPr>
              <w:t xml:space="preserve">Harriet Thomas and </w:t>
            </w:r>
            <w:r w:rsidR="001E68C7" w:rsidRPr="00B91524">
              <w:rPr>
                <w:rFonts w:cs="Arial"/>
                <w:sz w:val="18"/>
                <w:szCs w:val="18"/>
              </w:rPr>
              <w:t>Julie Drew-Murphy (SOWFL)</w:t>
            </w:r>
          </w:p>
        </w:tc>
        <w:tc>
          <w:tcPr>
            <w:tcW w:w="1453" w:type="dxa"/>
            <w:tcBorders>
              <w:top w:val="single" w:sz="4" w:space="0" w:color="FDC300" w:themeColor="accent3"/>
              <w:bottom w:val="single" w:sz="4" w:space="0" w:color="FDC300" w:themeColor="accent3"/>
            </w:tcBorders>
          </w:tcPr>
          <w:p w14:paraId="05A3AE12" w14:textId="115600B3" w:rsidR="006F4BAE" w:rsidRPr="00B91524" w:rsidRDefault="00107D57" w:rsidP="00E6509D">
            <w:pPr>
              <w:spacing w:before="60" w:after="60"/>
              <w:jc w:val="center"/>
              <w:rPr>
                <w:rFonts w:cs="Arial"/>
                <w:sz w:val="18"/>
                <w:szCs w:val="18"/>
              </w:rPr>
            </w:pPr>
            <w:r w:rsidRPr="00B91524">
              <w:rPr>
                <w:rFonts w:cs="Arial"/>
                <w:sz w:val="18"/>
                <w:szCs w:val="18"/>
              </w:rPr>
              <w:t>Kim Gauld-Clark (SOWFL)</w:t>
            </w:r>
          </w:p>
        </w:tc>
      </w:tr>
      <w:tr w:rsidR="00967947" w:rsidRPr="00B91524" w14:paraId="0304B1E1" w14:textId="77777777" w:rsidTr="00251863">
        <w:tc>
          <w:tcPr>
            <w:tcW w:w="1242" w:type="dxa"/>
            <w:tcBorders>
              <w:top w:val="single" w:sz="4" w:space="0" w:color="FDC300" w:themeColor="accent3"/>
              <w:bottom w:val="single" w:sz="4" w:space="0" w:color="FDC300" w:themeColor="accent3"/>
            </w:tcBorders>
          </w:tcPr>
          <w:p w14:paraId="50E56A10" w14:textId="64E37EFE" w:rsidR="00967947" w:rsidRPr="00B91524" w:rsidRDefault="00967947" w:rsidP="00967947">
            <w:pPr>
              <w:spacing w:before="60" w:after="60"/>
              <w:jc w:val="center"/>
              <w:rPr>
                <w:rFonts w:cs="Arial"/>
                <w:sz w:val="18"/>
                <w:szCs w:val="18"/>
              </w:rPr>
            </w:pPr>
            <w:r w:rsidRPr="00B91524">
              <w:rPr>
                <w:rFonts w:cs="Arial"/>
                <w:sz w:val="18"/>
                <w:szCs w:val="18"/>
              </w:rPr>
              <w:t>02</w:t>
            </w:r>
          </w:p>
        </w:tc>
        <w:tc>
          <w:tcPr>
            <w:tcW w:w="1418" w:type="dxa"/>
            <w:tcBorders>
              <w:top w:val="single" w:sz="4" w:space="0" w:color="FDC300" w:themeColor="accent3"/>
              <w:bottom w:val="single" w:sz="4" w:space="0" w:color="FDC300" w:themeColor="accent3"/>
            </w:tcBorders>
          </w:tcPr>
          <w:p w14:paraId="0C22C70D" w14:textId="2F8024F8" w:rsidR="00967947" w:rsidRPr="00B91524" w:rsidRDefault="00967947" w:rsidP="00967947">
            <w:pPr>
              <w:spacing w:before="60" w:after="60"/>
              <w:jc w:val="center"/>
              <w:rPr>
                <w:rFonts w:cs="Arial"/>
                <w:sz w:val="18"/>
                <w:szCs w:val="18"/>
              </w:rPr>
            </w:pPr>
            <w:r w:rsidRPr="00B91524">
              <w:rPr>
                <w:rFonts w:cs="Arial"/>
                <w:sz w:val="18"/>
                <w:szCs w:val="18"/>
              </w:rPr>
              <w:t>1</w:t>
            </w:r>
            <w:r w:rsidR="007D2DB5" w:rsidRPr="00B91524">
              <w:rPr>
                <w:rFonts w:cs="Arial"/>
                <w:sz w:val="18"/>
                <w:szCs w:val="18"/>
              </w:rPr>
              <w:t>6</w:t>
            </w:r>
            <w:r w:rsidRPr="00B91524">
              <w:rPr>
                <w:rFonts w:cs="Arial"/>
                <w:sz w:val="18"/>
                <w:szCs w:val="18"/>
              </w:rPr>
              <w:t>/11/2020</w:t>
            </w:r>
          </w:p>
        </w:tc>
        <w:tc>
          <w:tcPr>
            <w:tcW w:w="2835" w:type="dxa"/>
            <w:gridSpan w:val="2"/>
            <w:tcBorders>
              <w:top w:val="single" w:sz="4" w:space="0" w:color="FDC300" w:themeColor="accent3"/>
              <w:bottom w:val="single" w:sz="4" w:space="0" w:color="FDC300" w:themeColor="accent3"/>
            </w:tcBorders>
          </w:tcPr>
          <w:p w14:paraId="2D3AEC08" w14:textId="68C5ACF5" w:rsidR="00967947" w:rsidRPr="00B91524" w:rsidRDefault="00967947" w:rsidP="00967947">
            <w:pPr>
              <w:spacing w:before="60" w:after="60"/>
              <w:jc w:val="center"/>
              <w:rPr>
                <w:rFonts w:cs="Arial"/>
                <w:sz w:val="18"/>
                <w:szCs w:val="18"/>
              </w:rPr>
            </w:pPr>
            <w:r w:rsidRPr="00B91524">
              <w:rPr>
                <w:rFonts w:cs="Arial"/>
                <w:sz w:val="18"/>
                <w:szCs w:val="18"/>
              </w:rPr>
              <w:t xml:space="preserve">For resubmission to MMO for approval </w:t>
            </w:r>
          </w:p>
        </w:tc>
        <w:tc>
          <w:tcPr>
            <w:tcW w:w="1298" w:type="dxa"/>
            <w:tcBorders>
              <w:top w:val="single" w:sz="4" w:space="0" w:color="FDC300" w:themeColor="accent3"/>
              <w:bottom w:val="single" w:sz="4" w:space="0" w:color="FDC300" w:themeColor="accent3"/>
            </w:tcBorders>
          </w:tcPr>
          <w:p w14:paraId="487DAC1F" w14:textId="775F733D" w:rsidR="00967947" w:rsidRPr="00B91524" w:rsidRDefault="00967947" w:rsidP="00967947">
            <w:pPr>
              <w:spacing w:before="60" w:after="60"/>
              <w:jc w:val="center"/>
              <w:rPr>
                <w:rFonts w:cs="Arial"/>
                <w:sz w:val="18"/>
                <w:szCs w:val="18"/>
              </w:rPr>
            </w:pPr>
            <w:r w:rsidRPr="00B91524">
              <w:rPr>
                <w:rFonts w:cs="Arial"/>
                <w:sz w:val="18"/>
                <w:szCs w:val="18"/>
              </w:rPr>
              <w:t>Ross Griffin (Ocean Ecology Limited)</w:t>
            </w:r>
          </w:p>
        </w:tc>
        <w:tc>
          <w:tcPr>
            <w:tcW w:w="1608" w:type="dxa"/>
            <w:tcBorders>
              <w:top w:val="single" w:sz="4" w:space="0" w:color="FDC300" w:themeColor="accent3"/>
              <w:bottom w:val="single" w:sz="4" w:space="0" w:color="FDC300" w:themeColor="accent3"/>
            </w:tcBorders>
          </w:tcPr>
          <w:p w14:paraId="18410A77" w14:textId="23D4E3DF" w:rsidR="00967947" w:rsidRPr="00B91524" w:rsidRDefault="00967947" w:rsidP="00967947">
            <w:pPr>
              <w:spacing w:before="60" w:after="60"/>
              <w:jc w:val="center"/>
              <w:rPr>
                <w:rFonts w:cs="Arial"/>
                <w:sz w:val="18"/>
                <w:szCs w:val="18"/>
              </w:rPr>
            </w:pPr>
            <w:r w:rsidRPr="00B91524">
              <w:rPr>
                <w:rFonts w:cs="Arial"/>
                <w:sz w:val="18"/>
                <w:szCs w:val="18"/>
              </w:rPr>
              <w:t>Harriet Thomas and Julie Drew-Murphy (SOWFL)</w:t>
            </w:r>
          </w:p>
        </w:tc>
        <w:tc>
          <w:tcPr>
            <w:tcW w:w="1453" w:type="dxa"/>
            <w:tcBorders>
              <w:top w:val="single" w:sz="4" w:space="0" w:color="FDC300" w:themeColor="accent3"/>
              <w:bottom w:val="single" w:sz="4" w:space="0" w:color="FDC300" w:themeColor="accent3"/>
            </w:tcBorders>
          </w:tcPr>
          <w:p w14:paraId="123B2B9C" w14:textId="3936AD77" w:rsidR="00967947" w:rsidRPr="00B91524" w:rsidRDefault="00967947" w:rsidP="00967947">
            <w:pPr>
              <w:spacing w:before="60" w:after="60"/>
              <w:jc w:val="center"/>
              <w:rPr>
                <w:rFonts w:cs="Arial"/>
                <w:sz w:val="18"/>
                <w:szCs w:val="18"/>
              </w:rPr>
            </w:pPr>
            <w:r w:rsidRPr="00B91524">
              <w:rPr>
                <w:rFonts w:cs="Arial"/>
                <w:sz w:val="18"/>
                <w:szCs w:val="18"/>
              </w:rPr>
              <w:t>Kim Gauld-Clark (SOWFL)</w:t>
            </w:r>
          </w:p>
        </w:tc>
      </w:tr>
      <w:tr w:rsidR="00B14C43" w:rsidRPr="00B91524" w14:paraId="2C736430" w14:textId="77777777" w:rsidTr="00251863">
        <w:tc>
          <w:tcPr>
            <w:tcW w:w="1242" w:type="dxa"/>
            <w:tcBorders>
              <w:top w:val="single" w:sz="4" w:space="0" w:color="FDC300" w:themeColor="accent3"/>
              <w:bottom w:val="single" w:sz="4" w:space="0" w:color="FDC300" w:themeColor="accent3"/>
            </w:tcBorders>
          </w:tcPr>
          <w:p w14:paraId="6628ACAC" w14:textId="5D572AC0" w:rsidR="00B14C43" w:rsidRPr="00B91524" w:rsidRDefault="00B14C43" w:rsidP="00B14C43">
            <w:pPr>
              <w:spacing w:before="60" w:after="60"/>
              <w:jc w:val="center"/>
              <w:rPr>
                <w:rFonts w:cs="Arial"/>
                <w:sz w:val="18"/>
                <w:szCs w:val="18"/>
              </w:rPr>
            </w:pPr>
            <w:r w:rsidRPr="00B91524">
              <w:rPr>
                <w:rFonts w:cs="Arial"/>
                <w:sz w:val="18"/>
                <w:szCs w:val="18"/>
              </w:rPr>
              <w:t>03</w:t>
            </w:r>
          </w:p>
        </w:tc>
        <w:tc>
          <w:tcPr>
            <w:tcW w:w="1418" w:type="dxa"/>
            <w:tcBorders>
              <w:top w:val="single" w:sz="4" w:space="0" w:color="FDC300" w:themeColor="accent3"/>
              <w:bottom w:val="single" w:sz="4" w:space="0" w:color="FDC300" w:themeColor="accent3"/>
            </w:tcBorders>
          </w:tcPr>
          <w:p w14:paraId="41753B92" w14:textId="69A316E4" w:rsidR="00B14C43" w:rsidRPr="00B91524" w:rsidRDefault="00891568" w:rsidP="00B14C43">
            <w:pPr>
              <w:spacing w:before="60" w:after="60"/>
              <w:jc w:val="center"/>
              <w:rPr>
                <w:rFonts w:cs="Arial"/>
                <w:sz w:val="18"/>
                <w:szCs w:val="18"/>
              </w:rPr>
            </w:pPr>
            <w:r w:rsidRPr="00B91524">
              <w:rPr>
                <w:rFonts w:cs="Arial"/>
                <w:sz w:val="18"/>
                <w:szCs w:val="18"/>
              </w:rPr>
              <w:t>1</w:t>
            </w:r>
            <w:r w:rsidR="00D300AA" w:rsidRPr="00B91524">
              <w:rPr>
                <w:rFonts w:cs="Arial"/>
                <w:sz w:val="18"/>
                <w:szCs w:val="18"/>
              </w:rPr>
              <w:t>5</w:t>
            </w:r>
            <w:r w:rsidR="00B14C43" w:rsidRPr="00B91524">
              <w:rPr>
                <w:rFonts w:cs="Arial"/>
                <w:sz w:val="18"/>
                <w:szCs w:val="18"/>
              </w:rPr>
              <w:t>/01/2021</w:t>
            </w:r>
          </w:p>
        </w:tc>
        <w:tc>
          <w:tcPr>
            <w:tcW w:w="2835" w:type="dxa"/>
            <w:gridSpan w:val="2"/>
            <w:tcBorders>
              <w:top w:val="single" w:sz="4" w:space="0" w:color="FDC300" w:themeColor="accent3"/>
              <w:bottom w:val="single" w:sz="4" w:space="0" w:color="FDC300" w:themeColor="accent3"/>
            </w:tcBorders>
          </w:tcPr>
          <w:p w14:paraId="497B2EE6" w14:textId="71CEA958" w:rsidR="00B14C43" w:rsidRPr="00B91524" w:rsidRDefault="00B14C43" w:rsidP="00B14C43">
            <w:pPr>
              <w:spacing w:before="60" w:after="60"/>
              <w:jc w:val="center"/>
              <w:rPr>
                <w:rFonts w:cs="Arial"/>
                <w:sz w:val="18"/>
                <w:szCs w:val="18"/>
              </w:rPr>
            </w:pPr>
            <w:r w:rsidRPr="00B91524">
              <w:rPr>
                <w:rFonts w:cs="Arial"/>
                <w:sz w:val="18"/>
                <w:szCs w:val="18"/>
              </w:rPr>
              <w:t>For resubmission to MMO for approval following further comments</w:t>
            </w:r>
            <w:r w:rsidR="00E549CF" w:rsidRPr="00B91524">
              <w:rPr>
                <w:rFonts w:cs="Arial"/>
                <w:sz w:val="18"/>
                <w:szCs w:val="18"/>
              </w:rPr>
              <w:t xml:space="preserve"> and inclusion of nearshore sampling locations</w:t>
            </w:r>
          </w:p>
        </w:tc>
        <w:tc>
          <w:tcPr>
            <w:tcW w:w="1298" w:type="dxa"/>
            <w:tcBorders>
              <w:top w:val="single" w:sz="4" w:space="0" w:color="FDC300" w:themeColor="accent3"/>
              <w:bottom w:val="single" w:sz="4" w:space="0" w:color="FDC300" w:themeColor="accent3"/>
            </w:tcBorders>
          </w:tcPr>
          <w:p w14:paraId="15C305C0" w14:textId="1E8884CA" w:rsidR="00B14C43" w:rsidRPr="00B91524" w:rsidRDefault="00B14C43" w:rsidP="0009712F">
            <w:pPr>
              <w:spacing w:before="60" w:after="60"/>
              <w:rPr>
                <w:rFonts w:cs="Arial"/>
                <w:sz w:val="18"/>
                <w:szCs w:val="18"/>
              </w:rPr>
            </w:pPr>
            <w:r w:rsidRPr="00B91524">
              <w:rPr>
                <w:rFonts w:cs="Arial"/>
                <w:sz w:val="18"/>
                <w:szCs w:val="18"/>
              </w:rPr>
              <w:t>Ross Griffin (Ocean Ecology Limited)</w:t>
            </w:r>
          </w:p>
        </w:tc>
        <w:tc>
          <w:tcPr>
            <w:tcW w:w="1608" w:type="dxa"/>
            <w:tcBorders>
              <w:top w:val="single" w:sz="4" w:space="0" w:color="FDC300" w:themeColor="accent3"/>
              <w:bottom w:val="single" w:sz="4" w:space="0" w:color="FDC300" w:themeColor="accent3"/>
            </w:tcBorders>
          </w:tcPr>
          <w:p w14:paraId="75C04235" w14:textId="765AFC4A" w:rsidR="00B14C43" w:rsidRPr="00B91524" w:rsidRDefault="00B14C43" w:rsidP="00B14C43">
            <w:pPr>
              <w:spacing w:before="60" w:after="60"/>
              <w:jc w:val="center"/>
              <w:rPr>
                <w:rFonts w:cs="Arial"/>
                <w:sz w:val="18"/>
                <w:szCs w:val="18"/>
              </w:rPr>
            </w:pPr>
            <w:r w:rsidRPr="00B91524">
              <w:rPr>
                <w:rFonts w:cs="Arial"/>
                <w:sz w:val="18"/>
                <w:szCs w:val="18"/>
              </w:rPr>
              <w:t>Harriet Thomas and Julie Drew-Murphy (SOWFL)</w:t>
            </w:r>
          </w:p>
        </w:tc>
        <w:tc>
          <w:tcPr>
            <w:tcW w:w="1453" w:type="dxa"/>
            <w:tcBorders>
              <w:top w:val="single" w:sz="4" w:space="0" w:color="FDC300" w:themeColor="accent3"/>
              <w:bottom w:val="single" w:sz="4" w:space="0" w:color="FDC300" w:themeColor="accent3"/>
            </w:tcBorders>
          </w:tcPr>
          <w:p w14:paraId="6BB8D294" w14:textId="1B8DAAF5" w:rsidR="00B14C43" w:rsidRPr="00B91524" w:rsidRDefault="00B14C43" w:rsidP="00B14C43">
            <w:pPr>
              <w:spacing w:before="60" w:after="60"/>
              <w:jc w:val="center"/>
              <w:rPr>
                <w:rFonts w:cs="Arial"/>
                <w:sz w:val="18"/>
                <w:szCs w:val="18"/>
              </w:rPr>
            </w:pPr>
            <w:r w:rsidRPr="00B91524">
              <w:rPr>
                <w:rFonts w:cs="Arial"/>
                <w:sz w:val="18"/>
                <w:szCs w:val="18"/>
              </w:rPr>
              <w:t>Kim Gauld-Clark (SOWFL)</w:t>
            </w:r>
          </w:p>
        </w:tc>
      </w:tr>
      <w:tr w:rsidR="005833A1" w:rsidRPr="00B91524" w14:paraId="6858F934" w14:textId="77777777" w:rsidTr="00347A7E">
        <w:tc>
          <w:tcPr>
            <w:tcW w:w="1242" w:type="dxa"/>
            <w:tcBorders>
              <w:top w:val="single" w:sz="4" w:space="0" w:color="FDC300" w:themeColor="accent3"/>
              <w:bottom w:val="single" w:sz="4" w:space="0" w:color="FDC300" w:themeColor="accent3"/>
            </w:tcBorders>
          </w:tcPr>
          <w:p w14:paraId="61D758FB" w14:textId="31D88684" w:rsidR="005833A1" w:rsidRPr="00B91524" w:rsidRDefault="005833A1" w:rsidP="005833A1">
            <w:pPr>
              <w:spacing w:before="60" w:after="60"/>
              <w:jc w:val="center"/>
              <w:rPr>
                <w:rFonts w:cs="Arial"/>
                <w:sz w:val="18"/>
                <w:szCs w:val="18"/>
              </w:rPr>
            </w:pPr>
            <w:r w:rsidRPr="00B91524">
              <w:rPr>
                <w:rFonts w:cs="Arial"/>
                <w:sz w:val="18"/>
                <w:szCs w:val="18"/>
              </w:rPr>
              <w:t>04</w:t>
            </w:r>
          </w:p>
        </w:tc>
        <w:tc>
          <w:tcPr>
            <w:tcW w:w="1418" w:type="dxa"/>
            <w:tcBorders>
              <w:top w:val="single" w:sz="4" w:space="0" w:color="FDC300" w:themeColor="accent3"/>
              <w:bottom w:val="single" w:sz="4" w:space="0" w:color="FDC300" w:themeColor="accent3"/>
            </w:tcBorders>
          </w:tcPr>
          <w:p w14:paraId="1D7D8355" w14:textId="18C2D2CB" w:rsidR="005833A1" w:rsidRPr="00B91524" w:rsidRDefault="005833A1" w:rsidP="005833A1">
            <w:pPr>
              <w:spacing w:before="60" w:after="60"/>
              <w:jc w:val="center"/>
              <w:rPr>
                <w:rFonts w:cs="Arial"/>
                <w:sz w:val="18"/>
                <w:szCs w:val="18"/>
              </w:rPr>
            </w:pPr>
            <w:r w:rsidRPr="00B91524">
              <w:rPr>
                <w:rFonts w:cs="Arial"/>
                <w:sz w:val="18"/>
                <w:szCs w:val="18"/>
              </w:rPr>
              <w:t>01/03/2021</w:t>
            </w:r>
          </w:p>
        </w:tc>
        <w:tc>
          <w:tcPr>
            <w:tcW w:w="2835" w:type="dxa"/>
            <w:gridSpan w:val="2"/>
            <w:tcBorders>
              <w:top w:val="single" w:sz="4" w:space="0" w:color="FDC300" w:themeColor="accent3"/>
              <w:bottom w:val="single" w:sz="4" w:space="0" w:color="FDC300" w:themeColor="accent3"/>
            </w:tcBorders>
          </w:tcPr>
          <w:p w14:paraId="732407CD" w14:textId="051D833A" w:rsidR="005833A1" w:rsidRPr="00B91524" w:rsidRDefault="005833A1" w:rsidP="005833A1">
            <w:pPr>
              <w:spacing w:before="60" w:after="60"/>
              <w:jc w:val="center"/>
              <w:rPr>
                <w:rFonts w:cs="Arial"/>
                <w:sz w:val="18"/>
                <w:szCs w:val="18"/>
              </w:rPr>
            </w:pPr>
            <w:r w:rsidRPr="00B91524">
              <w:rPr>
                <w:rFonts w:cs="Arial"/>
                <w:sz w:val="18"/>
                <w:szCs w:val="18"/>
              </w:rPr>
              <w:t xml:space="preserve">For resubmission to MMO for approval following further comments </w:t>
            </w:r>
          </w:p>
        </w:tc>
        <w:tc>
          <w:tcPr>
            <w:tcW w:w="1298" w:type="dxa"/>
            <w:tcBorders>
              <w:top w:val="single" w:sz="4" w:space="0" w:color="FDC300" w:themeColor="accent3"/>
              <w:bottom w:val="single" w:sz="4" w:space="0" w:color="FDC300" w:themeColor="accent3"/>
            </w:tcBorders>
          </w:tcPr>
          <w:p w14:paraId="484C3EF4" w14:textId="6FBC73C3" w:rsidR="005833A1" w:rsidRPr="00B91524" w:rsidRDefault="005833A1" w:rsidP="005833A1">
            <w:pPr>
              <w:spacing w:before="60" w:after="60"/>
              <w:jc w:val="center"/>
              <w:rPr>
                <w:rFonts w:cs="Arial"/>
                <w:sz w:val="18"/>
                <w:szCs w:val="18"/>
              </w:rPr>
            </w:pPr>
            <w:r w:rsidRPr="00B91524">
              <w:rPr>
                <w:rFonts w:cs="Arial"/>
                <w:sz w:val="18"/>
                <w:szCs w:val="18"/>
              </w:rPr>
              <w:t>Ross Griffin (Ocean Ecology Limited)</w:t>
            </w:r>
          </w:p>
        </w:tc>
        <w:tc>
          <w:tcPr>
            <w:tcW w:w="1608" w:type="dxa"/>
            <w:tcBorders>
              <w:top w:val="single" w:sz="4" w:space="0" w:color="FDC300" w:themeColor="accent3"/>
              <w:bottom w:val="single" w:sz="4" w:space="0" w:color="FDC300" w:themeColor="accent3"/>
            </w:tcBorders>
          </w:tcPr>
          <w:p w14:paraId="3017FDAB" w14:textId="2BB1DFD3" w:rsidR="005833A1" w:rsidRPr="00B91524" w:rsidRDefault="005833A1" w:rsidP="005833A1">
            <w:pPr>
              <w:spacing w:before="60" w:after="60"/>
              <w:jc w:val="center"/>
              <w:rPr>
                <w:rFonts w:cs="Arial"/>
                <w:sz w:val="18"/>
                <w:szCs w:val="18"/>
              </w:rPr>
            </w:pPr>
            <w:r w:rsidRPr="00B91524">
              <w:rPr>
                <w:rFonts w:cs="Arial"/>
                <w:sz w:val="18"/>
                <w:szCs w:val="18"/>
              </w:rPr>
              <w:t>Harriet Thomas and Julie Drew-Murphy (SOWFL)</w:t>
            </w:r>
          </w:p>
        </w:tc>
        <w:tc>
          <w:tcPr>
            <w:tcW w:w="1453" w:type="dxa"/>
            <w:tcBorders>
              <w:top w:val="single" w:sz="4" w:space="0" w:color="FDC300" w:themeColor="accent3"/>
              <w:bottom w:val="single" w:sz="4" w:space="0" w:color="FDC300" w:themeColor="accent3"/>
            </w:tcBorders>
          </w:tcPr>
          <w:p w14:paraId="236B5999" w14:textId="61E46F5A" w:rsidR="005833A1" w:rsidRPr="00B91524" w:rsidRDefault="005833A1" w:rsidP="005833A1">
            <w:pPr>
              <w:spacing w:before="60" w:after="60"/>
              <w:jc w:val="center"/>
              <w:rPr>
                <w:rFonts w:cs="Arial"/>
                <w:sz w:val="18"/>
                <w:szCs w:val="18"/>
              </w:rPr>
            </w:pPr>
            <w:r w:rsidRPr="00B91524">
              <w:rPr>
                <w:rFonts w:cs="Arial"/>
                <w:sz w:val="18"/>
                <w:szCs w:val="18"/>
              </w:rPr>
              <w:t>Kim Gauld-Clark (SOWFL)</w:t>
            </w:r>
          </w:p>
        </w:tc>
      </w:tr>
      <w:tr w:rsidR="00E21903" w:rsidRPr="00B91524" w14:paraId="7FA51BEB" w14:textId="77777777" w:rsidTr="00347A7E">
        <w:tc>
          <w:tcPr>
            <w:tcW w:w="1242" w:type="dxa"/>
            <w:tcBorders>
              <w:top w:val="single" w:sz="4" w:space="0" w:color="FDC300" w:themeColor="accent3"/>
              <w:bottom w:val="single" w:sz="4" w:space="0" w:color="FDC300" w:themeColor="accent3"/>
            </w:tcBorders>
          </w:tcPr>
          <w:p w14:paraId="18B5B02F" w14:textId="17291A01" w:rsidR="00E21903" w:rsidRPr="00B91524" w:rsidRDefault="00E21903" w:rsidP="00E21903">
            <w:pPr>
              <w:spacing w:before="60" w:after="60"/>
              <w:jc w:val="center"/>
              <w:rPr>
                <w:rFonts w:cs="Arial"/>
                <w:sz w:val="18"/>
                <w:szCs w:val="18"/>
              </w:rPr>
            </w:pPr>
            <w:r w:rsidRPr="00B91524">
              <w:rPr>
                <w:rFonts w:cs="Arial"/>
                <w:sz w:val="18"/>
                <w:szCs w:val="18"/>
              </w:rPr>
              <w:t>05</w:t>
            </w:r>
          </w:p>
        </w:tc>
        <w:tc>
          <w:tcPr>
            <w:tcW w:w="1418" w:type="dxa"/>
            <w:tcBorders>
              <w:top w:val="single" w:sz="4" w:space="0" w:color="FDC300" w:themeColor="accent3"/>
              <w:bottom w:val="single" w:sz="4" w:space="0" w:color="FDC300" w:themeColor="accent3"/>
            </w:tcBorders>
          </w:tcPr>
          <w:p w14:paraId="0D34BD77" w14:textId="622D5A76" w:rsidR="00E21903" w:rsidRPr="00B91524" w:rsidRDefault="00C25984" w:rsidP="00E21903">
            <w:pPr>
              <w:spacing w:before="60" w:after="60"/>
              <w:jc w:val="center"/>
              <w:rPr>
                <w:rFonts w:cs="Arial"/>
                <w:sz w:val="18"/>
                <w:szCs w:val="18"/>
              </w:rPr>
            </w:pPr>
            <w:r w:rsidRPr="00B91524">
              <w:rPr>
                <w:rFonts w:cs="Arial"/>
                <w:sz w:val="18"/>
                <w:szCs w:val="18"/>
              </w:rPr>
              <w:t>15</w:t>
            </w:r>
            <w:r w:rsidR="00E21903" w:rsidRPr="00B91524">
              <w:rPr>
                <w:rFonts w:cs="Arial"/>
                <w:sz w:val="18"/>
                <w:szCs w:val="18"/>
              </w:rPr>
              <w:t>/06/2021</w:t>
            </w:r>
          </w:p>
        </w:tc>
        <w:tc>
          <w:tcPr>
            <w:tcW w:w="2835" w:type="dxa"/>
            <w:gridSpan w:val="2"/>
            <w:tcBorders>
              <w:top w:val="single" w:sz="4" w:space="0" w:color="FDC300" w:themeColor="accent3"/>
              <w:bottom w:val="single" w:sz="4" w:space="0" w:color="FDC300" w:themeColor="accent3"/>
            </w:tcBorders>
          </w:tcPr>
          <w:p w14:paraId="3B552F29" w14:textId="2CB2C215" w:rsidR="00E21903" w:rsidRPr="00B91524" w:rsidRDefault="00E21903" w:rsidP="00E21903">
            <w:pPr>
              <w:spacing w:before="60" w:after="60"/>
              <w:jc w:val="center"/>
              <w:rPr>
                <w:rFonts w:cs="Arial"/>
                <w:sz w:val="18"/>
                <w:szCs w:val="18"/>
              </w:rPr>
            </w:pPr>
            <w:r w:rsidRPr="00B91524">
              <w:rPr>
                <w:rFonts w:cs="Arial"/>
                <w:sz w:val="18"/>
                <w:szCs w:val="18"/>
              </w:rPr>
              <w:t>For resubmission to MMO for approval following addition of offshore and SRI sampling arrays</w:t>
            </w:r>
          </w:p>
        </w:tc>
        <w:tc>
          <w:tcPr>
            <w:tcW w:w="1298" w:type="dxa"/>
            <w:tcBorders>
              <w:top w:val="single" w:sz="4" w:space="0" w:color="FDC300" w:themeColor="accent3"/>
              <w:bottom w:val="single" w:sz="4" w:space="0" w:color="FDC300" w:themeColor="accent3"/>
            </w:tcBorders>
          </w:tcPr>
          <w:p w14:paraId="4DFF02D3" w14:textId="13807591" w:rsidR="00E21903" w:rsidRPr="00B91524" w:rsidRDefault="00E21903" w:rsidP="00E21903">
            <w:pPr>
              <w:spacing w:before="60" w:after="60"/>
              <w:jc w:val="center"/>
              <w:rPr>
                <w:rFonts w:cs="Arial"/>
                <w:sz w:val="18"/>
                <w:szCs w:val="18"/>
              </w:rPr>
            </w:pPr>
            <w:r w:rsidRPr="00B91524">
              <w:rPr>
                <w:rFonts w:cs="Arial"/>
                <w:sz w:val="18"/>
                <w:szCs w:val="18"/>
              </w:rPr>
              <w:t>Ross Griffin (Ocean Ecology Limited)</w:t>
            </w:r>
          </w:p>
        </w:tc>
        <w:tc>
          <w:tcPr>
            <w:tcW w:w="1608" w:type="dxa"/>
            <w:tcBorders>
              <w:top w:val="single" w:sz="4" w:space="0" w:color="FDC300" w:themeColor="accent3"/>
              <w:bottom w:val="single" w:sz="4" w:space="0" w:color="FDC300" w:themeColor="accent3"/>
            </w:tcBorders>
          </w:tcPr>
          <w:p w14:paraId="4B1C24B4" w14:textId="6273213A" w:rsidR="00E21903" w:rsidRPr="00B91524" w:rsidRDefault="00E21903" w:rsidP="00E21903">
            <w:pPr>
              <w:spacing w:before="60" w:after="60"/>
              <w:jc w:val="center"/>
              <w:rPr>
                <w:rFonts w:cs="Arial"/>
                <w:sz w:val="18"/>
                <w:szCs w:val="18"/>
              </w:rPr>
            </w:pPr>
            <w:r w:rsidRPr="00B91524">
              <w:rPr>
                <w:rFonts w:cs="Arial"/>
                <w:sz w:val="18"/>
                <w:szCs w:val="18"/>
              </w:rPr>
              <w:t>Julie Drew-Murphy (SOWFL)</w:t>
            </w:r>
          </w:p>
        </w:tc>
        <w:tc>
          <w:tcPr>
            <w:tcW w:w="1453" w:type="dxa"/>
            <w:tcBorders>
              <w:top w:val="single" w:sz="4" w:space="0" w:color="FDC300" w:themeColor="accent3"/>
              <w:bottom w:val="single" w:sz="4" w:space="0" w:color="FDC300" w:themeColor="accent3"/>
            </w:tcBorders>
          </w:tcPr>
          <w:p w14:paraId="11B8F53F" w14:textId="0353A649" w:rsidR="00E21903" w:rsidRPr="00B91524" w:rsidRDefault="00E21903" w:rsidP="00E21903">
            <w:pPr>
              <w:spacing w:before="60" w:after="60"/>
              <w:jc w:val="center"/>
              <w:rPr>
                <w:rFonts w:cs="Arial"/>
                <w:sz w:val="18"/>
                <w:szCs w:val="18"/>
              </w:rPr>
            </w:pPr>
            <w:r w:rsidRPr="00B91524">
              <w:rPr>
                <w:rFonts w:cs="Arial"/>
                <w:sz w:val="18"/>
                <w:szCs w:val="18"/>
              </w:rPr>
              <w:t>Kim Gauld-Clark (SOWFL)</w:t>
            </w:r>
          </w:p>
        </w:tc>
      </w:tr>
      <w:tr w:rsidR="009058C5" w:rsidRPr="00B91524" w14:paraId="7A98932F" w14:textId="77777777" w:rsidTr="002905DA">
        <w:tc>
          <w:tcPr>
            <w:tcW w:w="1242" w:type="dxa"/>
            <w:tcBorders>
              <w:top w:val="single" w:sz="4" w:space="0" w:color="FDC300" w:themeColor="accent3"/>
              <w:bottom w:val="single" w:sz="4" w:space="0" w:color="FDC300" w:themeColor="accent3"/>
            </w:tcBorders>
          </w:tcPr>
          <w:p w14:paraId="11E680C6" w14:textId="1A706321" w:rsidR="009058C5" w:rsidRPr="00294036" w:rsidRDefault="009058C5" w:rsidP="002905DA">
            <w:pPr>
              <w:spacing w:before="60" w:after="60"/>
              <w:jc w:val="center"/>
              <w:rPr>
                <w:rFonts w:cs="Arial"/>
                <w:sz w:val="18"/>
                <w:szCs w:val="18"/>
                <w:highlight w:val="yellow"/>
              </w:rPr>
            </w:pPr>
            <w:r w:rsidRPr="00294036">
              <w:rPr>
                <w:rFonts w:cs="Arial"/>
                <w:sz w:val="18"/>
                <w:szCs w:val="18"/>
                <w:highlight w:val="yellow"/>
              </w:rPr>
              <w:t>06</w:t>
            </w:r>
          </w:p>
        </w:tc>
        <w:tc>
          <w:tcPr>
            <w:tcW w:w="1418" w:type="dxa"/>
            <w:tcBorders>
              <w:top w:val="single" w:sz="4" w:space="0" w:color="FDC300" w:themeColor="accent3"/>
              <w:bottom w:val="single" w:sz="4" w:space="0" w:color="FDC300" w:themeColor="accent3"/>
            </w:tcBorders>
          </w:tcPr>
          <w:p w14:paraId="52E6ECAB" w14:textId="04761BB1" w:rsidR="009058C5" w:rsidRPr="00294036" w:rsidRDefault="009058C5" w:rsidP="002905DA">
            <w:pPr>
              <w:spacing w:before="60" w:after="60"/>
              <w:jc w:val="center"/>
              <w:rPr>
                <w:rFonts w:cs="Arial"/>
                <w:sz w:val="18"/>
                <w:szCs w:val="18"/>
                <w:highlight w:val="yellow"/>
              </w:rPr>
            </w:pPr>
            <w:r w:rsidRPr="00294036">
              <w:rPr>
                <w:rFonts w:cs="Arial"/>
                <w:sz w:val="18"/>
                <w:szCs w:val="18"/>
                <w:highlight w:val="yellow"/>
              </w:rPr>
              <w:t>26/07/2021</w:t>
            </w:r>
          </w:p>
        </w:tc>
        <w:tc>
          <w:tcPr>
            <w:tcW w:w="2835" w:type="dxa"/>
            <w:gridSpan w:val="2"/>
            <w:tcBorders>
              <w:top w:val="single" w:sz="4" w:space="0" w:color="FDC300" w:themeColor="accent3"/>
              <w:bottom w:val="single" w:sz="4" w:space="0" w:color="FDC300" w:themeColor="accent3"/>
            </w:tcBorders>
          </w:tcPr>
          <w:p w14:paraId="00123391" w14:textId="1B414528" w:rsidR="009058C5" w:rsidRPr="00294036" w:rsidRDefault="009058C5" w:rsidP="002905DA">
            <w:pPr>
              <w:spacing w:before="60" w:after="60"/>
              <w:jc w:val="center"/>
              <w:rPr>
                <w:rFonts w:cs="Arial"/>
                <w:sz w:val="18"/>
                <w:szCs w:val="18"/>
                <w:highlight w:val="yellow"/>
              </w:rPr>
            </w:pPr>
            <w:r w:rsidRPr="00294036">
              <w:rPr>
                <w:rFonts w:cs="Arial"/>
                <w:sz w:val="18"/>
                <w:szCs w:val="18"/>
                <w:highlight w:val="yellow"/>
              </w:rPr>
              <w:t>For resubmission to MMO for approval following further MMO/NE comments</w:t>
            </w:r>
          </w:p>
        </w:tc>
        <w:tc>
          <w:tcPr>
            <w:tcW w:w="1298" w:type="dxa"/>
            <w:tcBorders>
              <w:top w:val="single" w:sz="4" w:space="0" w:color="FDC300" w:themeColor="accent3"/>
              <w:bottom w:val="single" w:sz="4" w:space="0" w:color="FDC300" w:themeColor="accent3"/>
            </w:tcBorders>
          </w:tcPr>
          <w:p w14:paraId="5550F42D" w14:textId="77777777" w:rsidR="009058C5" w:rsidRPr="00294036" w:rsidRDefault="009058C5" w:rsidP="002905DA">
            <w:pPr>
              <w:spacing w:before="60" w:after="60"/>
              <w:jc w:val="center"/>
              <w:rPr>
                <w:rFonts w:cs="Arial"/>
                <w:sz w:val="18"/>
                <w:szCs w:val="18"/>
                <w:highlight w:val="yellow"/>
              </w:rPr>
            </w:pPr>
            <w:r w:rsidRPr="00294036">
              <w:rPr>
                <w:rFonts w:cs="Arial"/>
                <w:sz w:val="18"/>
                <w:szCs w:val="18"/>
                <w:highlight w:val="yellow"/>
              </w:rPr>
              <w:t>Ross Griffin (Ocean Ecology Limited)</w:t>
            </w:r>
          </w:p>
        </w:tc>
        <w:tc>
          <w:tcPr>
            <w:tcW w:w="1608" w:type="dxa"/>
            <w:tcBorders>
              <w:top w:val="single" w:sz="4" w:space="0" w:color="FDC300" w:themeColor="accent3"/>
              <w:bottom w:val="single" w:sz="4" w:space="0" w:color="FDC300" w:themeColor="accent3"/>
            </w:tcBorders>
          </w:tcPr>
          <w:p w14:paraId="1DB44C86" w14:textId="77777777" w:rsidR="009058C5" w:rsidRPr="00294036" w:rsidRDefault="009058C5" w:rsidP="002905DA">
            <w:pPr>
              <w:spacing w:before="60" w:after="60"/>
              <w:jc w:val="center"/>
              <w:rPr>
                <w:rFonts w:cs="Arial"/>
                <w:sz w:val="18"/>
                <w:szCs w:val="18"/>
                <w:highlight w:val="yellow"/>
              </w:rPr>
            </w:pPr>
            <w:r w:rsidRPr="00294036">
              <w:rPr>
                <w:rFonts w:cs="Arial"/>
                <w:sz w:val="18"/>
                <w:szCs w:val="18"/>
                <w:highlight w:val="yellow"/>
              </w:rPr>
              <w:t>Julie Drew-Murphy (SOWFL)</w:t>
            </w:r>
          </w:p>
        </w:tc>
        <w:tc>
          <w:tcPr>
            <w:tcW w:w="1453" w:type="dxa"/>
            <w:tcBorders>
              <w:top w:val="single" w:sz="4" w:space="0" w:color="FDC300" w:themeColor="accent3"/>
              <w:bottom w:val="single" w:sz="4" w:space="0" w:color="FDC300" w:themeColor="accent3"/>
            </w:tcBorders>
          </w:tcPr>
          <w:p w14:paraId="28E8808E" w14:textId="51444247" w:rsidR="009058C5" w:rsidRPr="00294036" w:rsidRDefault="002905DA" w:rsidP="002905DA">
            <w:pPr>
              <w:spacing w:before="60" w:after="60"/>
              <w:jc w:val="center"/>
              <w:rPr>
                <w:rFonts w:cs="Arial"/>
                <w:sz w:val="18"/>
                <w:szCs w:val="18"/>
                <w:highlight w:val="yellow"/>
              </w:rPr>
            </w:pPr>
            <w:r>
              <w:rPr>
                <w:rFonts w:cs="Arial"/>
                <w:sz w:val="18"/>
                <w:szCs w:val="18"/>
                <w:highlight w:val="yellow"/>
              </w:rPr>
              <w:t>Clare Davies</w:t>
            </w:r>
            <w:r w:rsidR="009058C5" w:rsidRPr="00294036">
              <w:rPr>
                <w:rFonts w:cs="Arial"/>
                <w:sz w:val="18"/>
                <w:szCs w:val="18"/>
                <w:highlight w:val="yellow"/>
              </w:rPr>
              <w:t xml:space="preserve"> (SOWFL)</w:t>
            </w:r>
          </w:p>
        </w:tc>
      </w:tr>
      <w:tr w:rsidR="009058C5" w:rsidRPr="00B91524" w14:paraId="1094E4F1" w14:textId="77777777" w:rsidTr="009058C5">
        <w:trPr>
          <w:trHeight w:val="886"/>
        </w:trPr>
        <w:tc>
          <w:tcPr>
            <w:tcW w:w="1242" w:type="dxa"/>
            <w:tcBorders>
              <w:top w:val="single" w:sz="4" w:space="0" w:color="FDC300" w:themeColor="accent3"/>
              <w:bottom w:val="single" w:sz="4" w:space="0" w:color="FDC300" w:themeColor="accent3"/>
            </w:tcBorders>
          </w:tcPr>
          <w:p w14:paraId="66611B5C" w14:textId="77777777" w:rsidR="009058C5" w:rsidRPr="00B91524" w:rsidRDefault="009058C5" w:rsidP="00E21903">
            <w:pPr>
              <w:spacing w:before="60" w:after="60"/>
              <w:jc w:val="center"/>
              <w:rPr>
                <w:rFonts w:cs="Arial"/>
                <w:sz w:val="18"/>
                <w:szCs w:val="18"/>
              </w:rPr>
            </w:pPr>
          </w:p>
        </w:tc>
        <w:tc>
          <w:tcPr>
            <w:tcW w:w="1418" w:type="dxa"/>
            <w:tcBorders>
              <w:top w:val="single" w:sz="4" w:space="0" w:color="FDC300" w:themeColor="accent3"/>
              <w:bottom w:val="single" w:sz="4" w:space="0" w:color="FDC300" w:themeColor="accent3"/>
            </w:tcBorders>
          </w:tcPr>
          <w:p w14:paraId="36637F26" w14:textId="77777777" w:rsidR="009058C5" w:rsidRPr="00B91524" w:rsidRDefault="009058C5" w:rsidP="00E21903">
            <w:pPr>
              <w:spacing w:before="60" w:after="60"/>
              <w:jc w:val="center"/>
              <w:rPr>
                <w:rFonts w:cs="Arial"/>
                <w:sz w:val="18"/>
                <w:szCs w:val="18"/>
              </w:rPr>
            </w:pPr>
          </w:p>
        </w:tc>
        <w:tc>
          <w:tcPr>
            <w:tcW w:w="2835" w:type="dxa"/>
            <w:gridSpan w:val="2"/>
            <w:tcBorders>
              <w:top w:val="single" w:sz="4" w:space="0" w:color="FDC300" w:themeColor="accent3"/>
              <w:bottom w:val="single" w:sz="4" w:space="0" w:color="FDC300" w:themeColor="accent3"/>
            </w:tcBorders>
          </w:tcPr>
          <w:p w14:paraId="2211AFC5" w14:textId="77777777" w:rsidR="009058C5" w:rsidRPr="00B91524" w:rsidRDefault="009058C5" w:rsidP="00E21903">
            <w:pPr>
              <w:spacing w:before="60" w:after="60"/>
              <w:jc w:val="center"/>
              <w:rPr>
                <w:rFonts w:cs="Arial"/>
                <w:sz w:val="18"/>
                <w:szCs w:val="18"/>
              </w:rPr>
            </w:pPr>
          </w:p>
        </w:tc>
        <w:tc>
          <w:tcPr>
            <w:tcW w:w="1298" w:type="dxa"/>
            <w:tcBorders>
              <w:top w:val="single" w:sz="4" w:space="0" w:color="FDC300" w:themeColor="accent3"/>
              <w:bottom w:val="single" w:sz="4" w:space="0" w:color="FDC300" w:themeColor="accent3"/>
            </w:tcBorders>
          </w:tcPr>
          <w:p w14:paraId="1B90DFAD" w14:textId="77777777" w:rsidR="009058C5" w:rsidRPr="00B91524" w:rsidRDefault="009058C5" w:rsidP="00E21903">
            <w:pPr>
              <w:spacing w:before="60" w:after="60"/>
              <w:jc w:val="center"/>
              <w:rPr>
                <w:rFonts w:cs="Arial"/>
                <w:sz w:val="18"/>
                <w:szCs w:val="18"/>
              </w:rPr>
            </w:pPr>
          </w:p>
        </w:tc>
        <w:tc>
          <w:tcPr>
            <w:tcW w:w="1608" w:type="dxa"/>
            <w:tcBorders>
              <w:top w:val="single" w:sz="4" w:space="0" w:color="FDC300" w:themeColor="accent3"/>
              <w:bottom w:val="single" w:sz="4" w:space="0" w:color="FDC300" w:themeColor="accent3"/>
            </w:tcBorders>
          </w:tcPr>
          <w:p w14:paraId="1FE1B1C9" w14:textId="77777777" w:rsidR="009058C5" w:rsidRPr="00B91524" w:rsidRDefault="009058C5" w:rsidP="00E21903">
            <w:pPr>
              <w:spacing w:before="60" w:after="60"/>
              <w:jc w:val="center"/>
              <w:rPr>
                <w:rFonts w:cs="Arial"/>
                <w:sz w:val="18"/>
                <w:szCs w:val="18"/>
              </w:rPr>
            </w:pPr>
          </w:p>
        </w:tc>
        <w:tc>
          <w:tcPr>
            <w:tcW w:w="1453" w:type="dxa"/>
            <w:tcBorders>
              <w:top w:val="single" w:sz="4" w:space="0" w:color="FDC300" w:themeColor="accent3"/>
              <w:bottom w:val="single" w:sz="4" w:space="0" w:color="FDC300" w:themeColor="accent3"/>
            </w:tcBorders>
          </w:tcPr>
          <w:p w14:paraId="306E3FDE" w14:textId="77777777" w:rsidR="009058C5" w:rsidRPr="00B91524" w:rsidRDefault="009058C5" w:rsidP="00E21903">
            <w:pPr>
              <w:spacing w:before="60" w:after="60"/>
              <w:jc w:val="center"/>
              <w:rPr>
                <w:rFonts w:cs="Arial"/>
                <w:sz w:val="18"/>
                <w:szCs w:val="18"/>
              </w:rPr>
            </w:pPr>
          </w:p>
        </w:tc>
      </w:tr>
    </w:tbl>
    <w:p w14:paraId="385D29B1" w14:textId="77777777" w:rsidR="009A6916" w:rsidRPr="00B91524" w:rsidRDefault="009A6916">
      <w:pPr>
        <w:spacing w:after="200" w:line="276" w:lineRule="auto"/>
        <w:rPr>
          <w:rFonts w:cs="Arial"/>
          <w:bCs/>
        </w:rPr>
      </w:pPr>
      <w:r w:rsidRPr="00B91524">
        <w:rPr>
          <w:rFonts w:cs="Arial"/>
          <w:bCs/>
        </w:rPr>
        <w:br w:type="page"/>
      </w:r>
    </w:p>
    <w:sdt>
      <w:sdtPr>
        <w:rPr>
          <w:rFonts w:eastAsia="Times New Roman"/>
          <w:b w:val="0"/>
          <w:color w:val="auto"/>
          <w:sz w:val="22"/>
          <w:szCs w:val="20"/>
          <w:lang w:val="en-GB" w:eastAsia="en-US"/>
        </w:rPr>
        <w:id w:val="-918090279"/>
        <w:docPartObj>
          <w:docPartGallery w:val="Table of Contents"/>
          <w:docPartUnique/>
        </w:docPartObj>
      </w:sdtPr>
      <w:sdtEndPr>
        <w:rPr>
          <w:bCs/>
          <w:noProof/>
        </w:rPr>
      </w:sdtEndPr>
      <w:sdtContent>
        <w:p w14:paraId="6915310F" w14:textId="77777777" w:rsidR="00251863" w:rsidRPr="00B91524" w:rsidRDefault="00251863">
          <w:pPr>
            <w:pStyle w:val="TOCHeading"/>
          </w:pPr>
          <w:r w:rsidRPr="00B91524">
            <w:t>Contents</w:t>
          </w:r>
        </w:p>
        <w:p w14:paraId="48FAB6E5" w14:textId="380C4B68" w:rsidR="00BD0CEA" w:rsidRPr="00B91524" w:rsidRDefault="00251863">
          <w:pPr>
            <w:pStyle w:val="TOC1"/>
            <w:tabs>
              <w:tab w:val="left" w:pos="440"/>
              <w:tab w:val="right" w:leader="dot" w:pos="9746"/>
            </w:tabs>
            <w:rPr>
              <w:rFonts w:asciiTheme="minorHAnsi" w:eastAsiaTheme="minorEastAsia" w:hAnsiTheme="minorHAnsi" w:cstheme="minorBidi"/>
              <w:noProof/>
              <w:szCs w:val="22"/>
              <w:lang w:eastAsia="en-GB"/>
            </w:rPr>
          </w:pPr>
          <w:r w:rsidRPr="00B91524">
            <w:rPr>
              <w:szCs w:val="22"/>
            </w:rPr>
            <w:fldChar w:fldCharType="begin"/>
          </w:r>
          <w:r w:rsidRPr="00B91524">
            <w:rPr>
              <w:szCs w:val="22"/>
            </w:rPr>
            <w:instrText xml:space="preserve"> TOC \o "1-3" \h \z \u </w:instrText>
          </w:r>
          <w:r w:rsidRPr="00B91524">
            <w:rPr>
              <w:szCs w:val="22"/>
            </w:rPr>
            <w:fldChar w:fldCharType="separate"/>
          </w:r>
          <w:hyperlink w:anchor="_Toc74670310" w:history="1">
            <w:r w:rsidR="00BD0CEA" w:rsidRPr="00B91524">
              <w:rPr>
                <w:rStyle w:val="Hyperlink"/>
                <w:rFonts w:cs="Arial"/>
                <w:noProof/>
              </w:rPr>
              <w:t>1.</w:t>
            </w:r>
            <w:r w:rsidR="00BD0CEA" w:rsidRPr="00B91524">
              <w:rPr>
                <w:rFonts w:asciiTheme="minorHAnsi" w:eastAsiaTheme="minorEastAsia" w:hAnsiTheme="minorHAnsi" w:cstheme="minorBidi"/>
                <w:noProof/>
                <w:szCs w:val="22"/>
                <w:lang w:eastAsia="en-GB"/>
              </w:rPr>
              <w:tab/>
            </w:r>
            <w:r w:rsidR="00BD0CEA" w:rsidRPr="00B91524">
              <w:rPr>
                <w:rStyle w:val="Hyperlink"/>
                <w:noProof/>
              </w:rPr>
              <w:t>Overview</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_Toc74670310 \h </w:instrText>
            </w:r>
            <w:r w:rsidR="00BD0CEA" w:rsidRPr="00B91524">
              <w:rPr>
                <w:noProof/>
                <w:webHidden/>
              </w:rPr>
            </w:r>
            <w:r w:rsidR="00BD0CEA" w:rsidRPr="00B91524">
              <w:rPr>
                <w:noProof/>
                <w:webHidden/>
              </w:rPr>
              <w:fldChar w:fldCharType="separate"/>
            </w:r>
            <w:r w:rsidR="00683595">
              <w:rPr>
                <w:noProof/>
                <w:webHidden/>
              </w:rPr>
              <w:t>6</w:t>
            </w:r>
            <w:r w:rsidR="00BD0CEA" w:rsidRPr="00B91524">
              <w:rPr>
                <w:noProof/>
                <w:webHidden/>
              </w:rPr>
              <w:fldChar w:fldCharType="end"/>
            </w:r>
          </w:hyperlink>
        </w:p>
        <w:p w14:paraId="55475C5C" w14:textId="3307E8D4" w:rsidR="00BD0CEA" w:rsidRPr="00B91524" w:rsidRDefault="00683595">
          <w:pPr>
            <w:pStyle w:val="TOC2"/>
            <w:tabs>
              <w:tab w:val="left" w:pos="880"/>
              <w:tab w:val="right" w:leader="dot" w:pos="9746"/>
            </w:tabs>
            <w:rPr>
              <w:rFonts w:asciiTheme="minorHAnsi" w:eastAsiaTheme="minorEastAsia" w:hAnsiTheme="minorHAnsi" w:cstheme="minorBidi"/>
              <w:noProof/>
              <w:szCs w:val="22"/>
              <w:lang w:eastAsia="en-GB"/>
            </w:rPr>
          </w:pPr>
          <w:hyperlink w:anchor="_Toc74670311" w:history="1">
            <w:r w:rsidR="00BD0CEA" w:rsidRPr="00B91524">
              <w:rPr>
                <w:rStyle w:val="Hyperlink"/>
                <w:noProof/>
              </w:rPr>
              <w:t>1.1</w:t>
            </w:r>
            <w:r w:rsidR="00BD0CEA" w:rsidRPr="00B91524">
              <w:rPr>
                <w:rFonts w:asciiTheme="minorHAnsi" w:eastAsiaTheme="minorEastAsia" w:hAnsiTheme="minorHAnsi" w:cstheme="minorBidi"/>
                <w:noProof/>
                <w:szCs w:val="22"/>
                <w:lang w:eastAsia="en-GB"/>
              </w:rPr>
              <w:tab/>
            </w:r>
            <w:r w:rsidR="00BD0CEA" w:rsidRPr="00B91524">
              <w:rPr>
                <w:rStyle w:val="Hyperlink"/>
                <w:noProof/>
              </w:rPr>
              <w:t>Introduction</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_Toc74670311 \h </w:instrText>
            </w:r>
            <w:r w:rsidR="00BD0CEA" w:rsidRPr="00B91524">
              <w:rPr>
                <w:noProof/>
                <w:webHidden/>
              </w:rPr>
            </w:r>
            <w:r w:rsidR="00BD0CEA" w:rsidRPr="00B91524">
              <w:rPr>
                <w:noProof/>
                <w:webHidden/>
              </w:rPr>
              <w:fldChar w:fldCharType="separate"/>
            </w:r>
            <w:r>
              <w:rPr>
                <w:noProof/>
                <w:webHidden/>
              </w:rPr>
              <w:t>6</w:t>
            </w:r>
            <w:r w:rsidR="00BD0CEA" w:rsidRPr="00B91524">
              <w:rPr>
                <w:noProof/>
                <w:webHidden/>
              </w:rPr>
              <w:fldChar w:fldCharType="end"/>
            </w:r>
          </w:hyperlink>
        </w:p>
        <w:p w14:paraId="2DAF2837" w14:textId="1790E58A" w:rsidR="00BD0CEA" w:rsidRPr="00B91524" w:rsidRDefault="00683595">
          <w:pPr>
            <w:pStyle w:val="TOC2"/>
            <w:tabs>
              <w:tab w:val="left" w:pos="880"/>
              <w:tab w:val="right" w:leader="dot" w:pos="9746"/>
            </w:tabs>
            <w:rPr>
              <w:rFonts w:asciiTheme="minorHAnsi" w:eastAsiaTheme="minorEastAsia" w:hAnsiTheme="minorHAnsi" w:cstheme="minorBidi"/>
              <w:noProof/>
              <w:szCs w:val="22"/>
              <w:lang w:eastAsia="en-GB"/>
            </w:rPr>
          </w:pPr>
          <w:hyperlink w:anchor="_Toc74670312" w:history="1">
            <w:r w:rsidR="00BD0CEA" w:rsidRPr="00B91524">
              <w:rPr>
                <w:rStyle w:val="Hyperlink"/>
                <w:noProof/>
              </w:rPr>
              <w:t>1.2</w:t>
            </w:r>
            <w:r w:rsidR="00BD0CEA" w:rsidRPr="00B91524">
              <w:rPr>
                <w:rFonts w:asciiTheme="minorHAnsi" w:eastAsiaTheme="minorEastAsia" w:hAnsiTheme="minorHAnsi" w:cstheme="minorBidi"/>
                <w:noProof/>
                <w:szCs w:val="22"/>
                <w:lang w:eastAsia="en-GB"/>
              </w:rPr>
              <w:tab/>
            </w:r>
            <w:r w:rsidR="00BD0CEA" w:rsidRPr="00B91524">
              <w:rPr>
                <w:rStyle w:val="Hyperlink"/>
                <w:noProof/>
              </w:rPr>
              <w:t>Purpose and Scope of Document</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_Toc74670312 \h </w:instrText>
            </w:r>
            <w:r w:rsidR="00BD0CEA" w:rsidRPr="00B91524">
              <w:rPr>
                <w:noProof/>
                <w:webHidden/>
              </w:rPr>
            </w:r>
            <w:r w:rsidR="00BD0CEA" w:rsidRPr="00B91524">
              <w:rPr>
                <w:noProof/>
                <w:webHidden/>
              </w:rPr>
              <w:fldChar w:fldCharType="separate"/>
            </w:r>
            <w:r>
              <w:rPr>
                <w:noProof/>
                <w:webHidden/>
              </w:rPr>
              <w:t>6</w:t>
            </w:r>
            <w:r w:rsidR="00BD0CEA" w:rsidRPr="00B91524">
              <w:rPr>
                <w:noProof/>
                <w:webHidden/>
              </w:rPr>
              <w:fldChar w:fldCharType="end"/>
            </w:r>
          </w:hyperlink>
        </w:p>
        <w:p w14:paraId="33A683F2" w14:textId="3EA7A60B" w:rsidR="00BD0CEA" w:rsidRPr="00B91524" w:rsidRDefault="00683595">
          <w:pPr>
            <w:pStyle w:val="TOC2"/>
            <w:tabs>
              <w:tab w:val="left" w:pos="880"/>
              <w:tab w:val="right" w:leader="dot" w:pos="9746"/>
            </w:tabs>
            <w:rPr>
              <w:rFonts w:asciiTheme="minorHAnsi" w:eastAsiaTheme="minorEastAsia" w:hAnsiTheme="minorHAnsi" w:cstheme="minorBidi"/>
              <w:noProof/>
              <w:szCs w:val="22"/>
              <w:lang w:eastAsia="en-GB"/>
            </w:rPr>
          </w:pPr>
          <w:hyperlink w:anchor="_Toc74670313" w:history="1">
            <w:r w:rsidR="00BD0CEA" w:rsidRPr="00B91524">
              <w:rPr>
                <w:rStyle w:val="Hyperlink"/>
                <w:noProof/>
                <w:lang w:eastAsia="en-GB"/>
              </w:rPr>
              <w:t>1.3</w:t>
            </w:r>
            <w:r w:rsidR="00BD0CEA" w:rsidRPr="00B91524">
              <w:rPr>
                <w:rFonts w:asciiTheme="minorHAnsi" w:eastAsiaTheme="minorEastAsia" w:hAnsiTheme="minorHAnsi" w:cstheme="minorBidi"/>
                <w:noProof/>
                <w:szCs w:val="22"/>
                <w:lang w:eastAsia="en-GB"/>
              </w:rPr>
              <w:tab/>
            </w:r>
            <w:r w:rsidR="00BD0CEA" w:rsidRPr="00B91524">
              <w:rPr>
                <w:rStyle w:val="Hyperlink"/>
                <w:noProof/>
                <w:lang w:eastAsia="en-GB"/>
              </w:rPr>
              <w:t>Monitoring Requirements</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_Toc74670313 \h </w:instrText>
            </w:r>
            <w:r w:rsidR="00BD0CEA" w:rsidRPr="00B91524">
              <w:rPr>
                <w:noProof/>
                <w:webHidden/>
              </w:rPr>
            </w:r>
            <w:r w:rsidR="00BD0CEA" w:rsidRPr="00B91524">
              <w:rPr>
                <w:noProof/>
                <w:webHidden/>
              </w:rPr>
              <w:fldChar w:fldCharType="separate"/>
            </w:r>
            <w:r>
              <w:rPr>
                <w:noProof/>
                <w:webHidden/>
              </w:rPr>
              <w:t>8</w:t>
            </w:r>
            <w:r w:rsidR="00BD0CEA" w:rsidRPr="00B91524">
              <w:rPr>
                <w:noProof/>
                <w:webHidden/>
              </w:rPr>
              <w:fldChar w:fldCharType="end"/>
            </w:r>
          </w:hyperlink>
        </w:p>
        <w:p w14:paraId="1620BD13" w14:textId="67BC7970" w:rsidR="00BD0CEA" w:rsidRPr="00B91524" w:rsidRDefault="00683595">
          <w:pPr>
            <w:pStyle w:val="TOC2"/>
            <w:tabs>
              <w:tab w:val="left" w:pos="880"/>
              <w:tab w:val="right" w:leader="dot" w:pos="9746"/>
            </w:tabs>
            <w:rPr>
              <w:rFonts w:asciiTheme="minorHAnsi" w:eastAsiaTheme="minorEastAsia" w:hAnsiTheme="minorHAnsi" w:cstheme="minorBidi"/>
              <w:noProof/>
              <w:szCs w:val="22"/>
              <w:lang w:eastAsia="en-GB"/>
            </w:rPr>
          </w:pPr>
          <w:hyperlink w:anchor="_Toc74670314" w:history="1">
            <w:r w:rsidR="00BD0CEA" w:rsidRPr="00B91524">
              <w:rPr>
                <w:rStyle w:val="Hyperlink"/>
                <w:noProof/>
              </w:rPr>
              <w:t>1.4</w:t>
            </w:r>
            <w:r w:rsidR="00BD0CEA" w:rsidRPr="00B91524">
              <w:rPr>
                <w:rFonts w:asciiTheme="minorHAnsi" w:eastAsiaTheme="minorEastAsia" w:hAnsiTheme="minorHAnsi" w:cstheme="minorBidi"/>
                <w:noProof/>
                <w:szCs w:val="22"/>
                <w:lang w:eastAsia="en-GB"/>
              </w:rPr>
              <w:tab/>
            </w:r>
            <w:r w:rsidR="00BD0CEA" w:rsidRPr="00B91524">
              <w:rPr>
                <w:rStyle w:val="Hyperlink"/>
                <w:noProof/>
              </w:rPr>
              <w:t>in Principle Monitoring Plan and guiding principles</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_Toc74670314 \h </w:instrText>
            </w:r>
            <w:r w:rsidR="00BD0CEA" w:rsidRPr="00B91524">
              <w:rPr>
                <w:noProof/>
                <w:webHidden/>
              </w:rPr>
            </w:r>
            <w:r w:rsidR="00BD0CEA" w:rsidRPr="00B91524">
              <w:rPr>
                <w:noProof/>
                <w:webHidden/>
              </w:rPr>
              <w:fldChar w:fldCharType="separate"/>
            </w:r>
            <w:r>
              <w:rPr>
                <w:noProof/>
                <w:webHidden/>
              </w:rPr>
              <w:t>12</w:t>
            </w:r>
            <w:r w:rsidR="00BD0CEA" w:rsidRPr="00B91524">
              <w:rPr>
                <w:noProof/>
                <w:webHidden/>
              </w:rPr>
              <w:fldChar w:fldCharType="end"/>
            </w:r>
          </w:hyperlink>
        </w:p>
        <w:p w14:paraId="0102336F" w14:textId="3D3AA572" w:rsidR="00BD0CEA" w:rsidRPr="00B91524" w:rsidRDefault="00683595">
          <w:pPr>
            <w:pStyle w:val="TOC2"/>
            <w:tabs>
              <w:tab w:val="left" w:pos="880"/>
              <w:tab w:val="right" w:leader="dot" w:pos="9746"/>
            </w:tabs>
            <w:rPr>
              <w:rFonts w:asciiTheme="minorHAnsi" w:eastAsiaTheme="minorEastAsia" w:hAnsiTheme="minorHAnsi" w:cstheme="minorBidi"/>
              <w:noProof/>
              <w:szCs w:val="22"/>
              <w:lang w:eastAsia="en-GB"/>
            </w:rPr>
          </w:pPr>
          <w:hyperlink w:anchor="_Toc74670315" w:history="1">
            <w:r w:rsidR="00BD0CEA" w:rsidRPr="00B91524">
              <w:rPr>
                <w:rStyle w:val="Hyperlink"/>
                <w:noProof/>
              </w:rPr>
              <w:t>1.5</w:t>
            </w:r>
            <w:r w:rsidR="00BD0CEA" w:rsidRPr="00B91524">
              <w:rPr>
                <w:rFonts w:asciiTheme="minorHAnsi" w:eastAsiaTheme="minorEastAsia" w:hAnsiTheme="minorHAnsi" w:cstheme="minorBidi"/>
                <w:noProof/>
                <w:szCs w:val="22"/>
                <w:lang w:eastAsia="en-GB"/>
              </w:rPr>
              <w:tab/>
            </w:r>
            <w:r w:rsidR="00BD0CEA" w:rsidRPr="00B91524">
              <w:rPr>
                <w:rStyle w:val="Hyperlink"/>
                <w:noProof/>
              </w:rPr>
              <w:t>Existing and prospect data</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_Toc74670315 \h </w:instrText>
            </w:r>
            <w:r w:rsidR="00BD0CEA" w:rsidRPr="00B91524">
              <w:rPr>
                <w:noProof/>
                <w:webHidden/>
              </w:rPr>
            </w:r>
            <w:r w:rsidR="00BD0CEA" w:rsidRPr="00B91524">
              <w:rPr>
                <w:noProof/>
                <w:webHidden/>
              </w:rPr>
              <w:fldChar w:fldCharType="separate"/>
            </w:r>
            <w:r>
              <w:rPr>
                <w:noProof/>
                <w:webHidden/>
              </w:rPr>
              <w:t>12</w:t>
            </w:r>
            <w:r w:rsidR="00BD0CEA" w:rsidRPr="00B91524">
              <w:rPr>
                <w:noProof/>
                <w:webHidden/>
              </w:rPr>
              <w:fldChar w:fldCharType="end"/>
            </w:r>
          </w:hyperlink>
        </w:p>
        <w:p w14:paraId="4C7BDF46" w14:textId="5D8CAEF8" w:rsidR="00BD0CEA" w:rsidRPr="00B91524" w:rsidRDefault="00683595">
          <w:pPr>
            <w:pStyle w:val="TOC2"/>
            <w:tabs>
              <w:tab w:val="left" w:pos="880"/>
              <w:tab w:val="right" w:leader="dot" w:pos="9746"/>
            </w:tabs>
            <w:rPr>
              <w:rFonts w:asciiTheme="minorHAnsi" w:eastAsiaTheme="minorEastAsia" w:hAnsiTheme="minorHAnsi" w:cstheme="minorBidi"/>
              <w:noProof/>
              <w:szCs w:val="22"/>
              <w:lang w:eastAsia="en-GB"/>
            </w:rPr>
          </w:pPr>
          <w:hyperlink w:anchor="_Toc74670316" w:history="1">
            <w:r w:rsidR="00BD0CEA" w:rsidRPr="00B91524">
              <w:rPr>
                <w:rStyle w:val="Hyperlink"/>
                <w:noProof/>
              </w:rPr>
              <w:t>1.6</w:t>
            </w:r>
            <w:r w:rsidR="00BD0CEA" w:rsidRPr="00B91524">
              <w:rPr>
                <w:rFonts w:asciiTheme="minorHAnsi" w:eastAsiaTheme="minorEastAsia" w:hAnsiTheme="minorHAnsi" w:cstheme="minorBidi"/>
                <w:noProof/>
                <w:szCs w:val="22"/>
                <w:lang w:eastAsia="en-GB"/>
              </w:rPr>
              <w:tab/>
            </w:r>
            <w:r w:rsidR="00BD0CEA" w:rsidRPr="00B91524">
              <w:rPr>
                <w:rStyle w:val="Hyperlink"/>
                <w:noProof/>
              </w:rPr>
              <w:t>Consultation process</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_Toc74670316 \h </w:instrText>
            </w:r>
            <w:r w:rsidR="00BD0CEA" w:rsidRPr="00B91524">
              <w:rPr>
                <w:noProof/>
                <w:webHidden/>
              </w:rPr>
            </w:r>
            <w:r w:rsidR="00BD0CEA" w:rsidRPr="00B91524">
              <w:rPr>
                <w:noProof/>
                <w:webHidden/>
              </w:rPr>
              <w:fldChar w:fldCharType="separate"/>
            </w:r>
            <w:r>
              <w:rPr>
                <w:noProof/>
                <w:webHidden/>
              </w:rPr>
              <w:t>12</w:t>
            </w:r>
            <w:r w:rsidR="00BD0CEA" w:rsidRPr="00B91524">
              <w:rPr>
                <w:noProof/>
                <w:webHidden/>
              </w:rPr>
              <w:fldChar w:fldCharType="end"/>
            </w:r>
          </w:hyperlink>
        </w:p>
        <w:p w14:paraId="473151E1" w14:textId="0C7BA332" w:rsidR="00BD0CEA" w:rsidRPr="00B91524" w:rsidRDefault="00683595">
          <w:pPr>
            <w:pStyle w:val="TOC1"/>
            <w:tabs>
              <w:tab w:val="left" w:pos="440"/>
              <w:tab w:val="right" w:leader="dot" w:pos="9746"/>
            </w:tabs>
            <w:rPr>
              <w:rFonts w:asciiTheme="minorHAnsi" w:eastAsiaTheme="minorEastAsia" w:hAnsiTheme="minorHAnsi" w:cstheme="minorBidi"/>
              <w:noProof/>
              <w:szCs w:val="22"/>
              <w:lang w:eastAsia="en-GB"/>
            </w:rPr>
          </w:pPr>
          <w:hyperlink w:anchor="_Toc74670317" w:history="1">
            <w:r w:rsidR="00BD0CEA" w:rsidRPr="00B91524">
              <w:rPr>
                <w:rStyle w:val="Hyperlink"/>
                <w:rFonts w:cs="Arial"/>
                <w:noProof/>
              </w:rPr>
              <w:t>2.</w:t>
            </w:r>
            <w:r w:rsidR="00BD0CEA" w:rsidRPr="00B91524">
              <w:rPr>
                <w:rFonts w:asciiTheme="minorHAnsi" w:eastAsiaTheme="minorEastAsia" w:hAnsiTheme="minorHAnsi" w:cstheme="minorBidi"/>
                <w:noProof/>
                <w:szCs w:val="22"/>
                <w:lang w:eastAsia="en-GB"/>
              </w:rPr>
              <w:tab/>
            </w:r>
            <w:r w:rsidR="00BD0CEA" w:rsidRPr="00B91524">
              <w:rPr>
                <w:rStyle w:val="Hyperlink"/>
                <w:noProof/>
              </w:rPr>
              <w:t>project description</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_Toc74670317 \h </w:instrText>
            </w:r>
            <w:r w:rsidR="00BD0CEA" w:rsidRPr="00B91524">
              <w:rPr>
                <w:noProof/>
                <w:webHidden/>
              </w:rPr>
            </w:r>
            <w:r w:rsidR="00BD0CEA" w:rsidRPr="00B91524">
              <w:rPr>
                <w:noProof/>
                <w:webHidden/>
              </w:rPr>
              <w:fldChar w:fldCharType="separate"/>
            </w:r>
            <w:r>
              <w:rPr>
                <w:noProof/>
                <w:webHidden/>
              </w:rPr>
              <w:t>15</w:t>
            </w:r>
            <w:r w:rsidR="00BD0CEA" w:rsidRPr="00B91524">
              <w:rPr>
                <w:noProof/>
                <w:webHidden/>
              </w:rPr>
              <w:fldChar w:fldCharType="end"/>
            </w:r>
          </w:hyperlink>
        </w:p>
        <w:p w14:paraId="4A1EF4B0" w14:textId="22E324FA" w:rsidR="00BD0CEA" w:rsidRPr="00B91524" w:rsidRDefault="00683595">
          <w:pPr>
            <w:pStyle w:val="TOC2"/>
            <w:tabs>
              <w:tab w:val="left" w:pos="880"/>
              <w:tab w:val="right" w:leader="dot" w:pos="9746"/>
            </w:tabs>
            <w:rPr>
              <w:rFonts w:asciiTheme="minorHAnsi" w:eastAsiaTheme="minorEastAsia" w:hAnsiTheme="minorHAnsi" w:cstheme="minorBidi"/>
              <w:noProof/>
              <w:szCs w:val="22"/>
              <w:lang w:eastAsia="en-GB"/>
            </w:rPr>
          </w:pPr>
          <w:hyperlink w:anchor="_Toc74670318" w:history="1">
            <w:r w:rsidR="00BD0CEA" w:rsidRPr="00B91524">
              <w:rPr>
                <w:rStyle w:val="Hyperlink"/>
                <w:noProof/>
              </w:rPr>
              <w:t>2.1</w:t>
            </w:r>
            <w:r w:rsidR="00BD0CEA" w:rsidRPr="00B91524">
              <w:rPr>
                <w:rFonts w:asciiTheme="minorHAnsi" w:eastAsiaTheme="minorEastAsia" w:hAnsiTheme="minorHAnsi" w:cstheme="minorBidi"/>
                <w:noProof/>
                <w:szCs w:val="22"/>
                <w:lang w:eastAsia="en-GB"/>
              </w:rPr>
              <w:tab/>
            </w:r>
            <w:r w:rsidR="00BD0CEA" w:rsidRPr="00B91524">
              <w:rPr>
                <w:rStyle w:val="Hyperlink"/>
                <w:noProof/>
              </w:rPr>
              <w:t>overview</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_Toc74670318 \h </w:instrText>
            </w:r>
            <w:r w:rsidR="00BD0CEA" w:rsidRPr="00B91524">
              <w:rPr>
                <w:noProof/>
                <w:webHidden/>
              </w:rPr>
            </w:r>
            <w:r w:rsidR="00BD0CEA" w:rsidRPr="00B91524">
              <w:rPr>
                <w:noProof/>
                <w:webHidden/>
              </w:rPr>
              <w:fldChar w:fldCharType="separate"/>
            </w:r>
            <w:r>
              <w:rPr>
                <w:noProof/>
                <w:webHidden/>
              </w:rPr>
              <w:t>15</w:t>
            </w:r>
            <w:r w:rsidR="00BD0CEA" w:rsidRPr="00B91524">
              <w:rPr>
                <w:noProof/>
                <w:webHidden/>
              </w:rPr>
              <w:fldChar w:fldCharType="end"/>
            </w:r>
          </w:hyperlink>
        </w:p>
        <w:p w14:paraId="209DD683" w14:textId="61253385" w:rsidR="00BD0CEA" w:rsidRPr="00B91524" w:rsidRDefault="00683595">
          <w:pPr>
            <w:pStyle w:val="TOC2"/>
            <w:tabs>
              <w:tab w:val="left" w:pos="880"/>
              <w:tab w:val="right" w:leader="dot" w:pos="9746"/>
            </w:tabs>
            <w:rPr>
              <w:rFonts w:asciiTheme="minorHAnsi" w:eastAsiaTheme="minorEastAsia" w:hAnsiTheme="minorHAnsi" w:cstheme="minorBidi"/>
              <w:noProof/>
              <w:szCs w:val="22"/>
              <w:lang w:eastAsia="en-GB"/>
            </w:rPr>
          </w:pPr>
          <w:hyperlink w:anchor="_Toc74670319" w:history="1">
            <w:r w:rsidR="00BD0CEA" w:rsidRPr="00B91524">
              <w:rPr>
                <w:rStyle w:val="Hyperlink"/>
                <w:noProof/>
              </w:rPr>
              <w:t>2.2</w:t>
            </w:r>
            <w:r w:rsidR="00BD0CEA" w:rsidRPr="00B91524">
              <w:rPr>
                <w:rFonts w:asciiTheme="minorHAnsi" w:eastAsiaTheme="minorEastAsia" w:hAnsiTheme="minorHAnsi" w:cstheme="minorBidi"/>
                <w:noProof/>
                <w:szCs w:val="22"/>
                <w:lang w:eastAsia="en-GB"/>
              </w:rPr>
              <w:tab/>
            </w:r>
            <w:r w:rsidR="00BD0CEA" w:rsidRPr="00B91524">
              <w:rPr>
                <w:rStyle w:val="Hyperlink"/>
                <w:noProof/>
              </w:rPr>
              <w:t>Ownership of generation and transmission assets</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_Toc74670319 \h </w:instrText>
            </w:r>
            <w:r w:rsidR="00BD0CEA" w:rsidRPr="00B91524">
              <w:rPr>
                <w:noProof/>
                <w:webHidden/>
              </w:rPr>
            </w:r>
            <w:r w:rsidR="00BD0CEA" w:rsidRPr="00B91524">
              <w:rPr>
                <w:noProof/>
                <w:webHidden/>
              </w:rPr>
              <w:fldChar w:fldCharType="separate"/>
            </w:r>
            <w:r>
              <w:rPr>
                <w:noProof/>
                <w:webHidden/>
              </w:rPr>
              <w:t>16</w:t>
            </w:r>
            <w:r w:rsidR="00BD0CEA" w:rsidRPr="00B91524">
              <w:rPr>
                <w:noProof/>
                <w:webHidden/>
              </w:rPr>
              <w:fldChar w:fldCharType="end"/>
            </w:r>
          </w:hyperlink>
        </w:p>
        <w:p w14:paraId="623B1982" w14:textId="20AC5EFE" w:rsidR="00BD0CEA" w:rsidRPr="00B91524" w:rsidRDefault="00683595">
          <w:pPr>
            <w:pStyle w:val="TOC1"/>
            <w:tabs>
              <w:tab w:val="left" w:pos="440"/>
              <w:tab w:val="right" w:leader="dot" w:pos="9746"/>
            </w:tabs>
            <w:rPr>
              <w:rFonts w:asciiTheme="minorHAnsi" w:eastAsiaTheme="minorEastAsia" w:hAnsiTheme="minorHAnsi" w:cstheme="minorBidi"/>
              <w:noProof/>
              <w:szCs w:val="22"/>
              <w:lang w:eastAsia="en-GB"/>
            </w:rPr>
          </w:pPr>
          <w:hyperlink w:anchor="_Toc74670320" w:history="1">
            <w:r w:rsidR="00BD0CEA" w:rsidRPr="00B91524">
              <w:rPr>
                <w:rStyle w:val="Hyperlink"/>
                <w:rFonts w:cs="Arial"/>
                <w:noProof/>
              </w:rPr>
              <w:t>3.</w:t>
            </w:r>
            <w:r w:rsidR="00BD0CEA" w:rsidRPr="00B91524">
              <w:rPr>
                <w:rFonts w:asciiTheme="minorHAnsi" w:eastAsiaTheme="minorEastAsia" w:hAnsiTheme="minorHAnsi" w:cstheme="minorBidi"/>
                <w:noProof/>
                <w:szCs w:val="22"/>
                <w:lang w:eastAsia="en-GB"/>
              </w:rPr>
              <w:tab/>
            </w:r>
            <w:r w:rsidR="00BD0CEA" w:rsidRPr="00B91524">
              <w:rPr>
                <w:rStyle w:val="Hyperlink"/>
                <w:noProof/>
              </w:rPr>
              <w:t>Development of the benthic Monitoring Plan</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_Toc74670320 \h </w:instrText>
            </w:r>
            <w:r w:rsidR="00BD0CEA" w:rsidRPr="00B91524">
              <w:rPr>
                <w:noProof/>
                <w:webHidden/>
              </w:rPr>
            </w:r>
            <w:r w:rsidR="00BD0CEA" w:rsidRPr="00B91524">
              <w:rPr>
                <w:noProof/>
                <w:webHidden/>
              </w:rPr>
              <w:fldChar w:fldCharType="separate"/>
            </w:r>
            <w:r>
              <w:rPr>
                <w:noProof/>
                <w:webHidden/>
              </w:rPr>
              <w:t>17</w:t>
            </w:r>
            <w:r w:rsidR="00BD0CEA" w:rsidRPr="00B91524">
              <w:rPr>
                <w:noProof/>
                <w:webHidden/>
              </w:rPr>
              <w:fldChar w:fldCharType="end"/>
            </w:r>
          </w:hyperlink>
        </w:p>
        <w:p w14:paraId="104E79BB" w14:textId="15897FE6" w:rsidR="00BD0CEA" w:rsidRPr="00B91524" w:rsidRDefault="00683595">
          <w:pPr>
            <w:pStyle w:val="TOC2"/>
            <w:tabs>
              <w:tab w:val="left" w:pos="880"/>
              <w:tab w:val="right" w:leader="dot" w:pos="9746"/>
            </w:tabs>
            <w:rPr>
              <w:rFonts w:asciiTheme="minorHAnsi" w:eastAsiaTheme="minorEastAsia" w:hAnsiTheme="minorHAnsi" w:cstheme="minorBidi"/>
              <w:noProof/>
              <w:szCs w:val="22"/>
              <w:lang w:eastAsia="en-GB"/>
            </w:rPr>
          </w:pPr>
          <w:hyperlink w:anchor="_Toc74670321" w:history="1">
            <w:r w:rsidR="00BD0CEA" w:rsidRPr="00B91524">
              <w:rPr>
                <w:rStyle w:val="Hyperlink"/>
                <w:noProof/>
              </w:rPr>
              <w:t>3.1</w:t>
            </w:r>
            <w:r w:rsidR="00BD0CEA" w:rsidRPr="00B91524">
              <w:rPr>
                <w:rFonts w:asciiTheme="minorHAnsi" w:eastAsiaTheme="minorEastAsia" w:hAnsiTheme="minorHAnsi" w:cstheme="minorBidi"/>
                <w:noProof/>
                <w:szCs w:val="22"/>
                <w:lang w:eastAsia="en-GB"/>
              </w:rPr>
              <w:tab/>
            </w:r>
            <w:r w:rsidR="00BD0CEA" w:rsidRPr="00B91524">
              <w:rPr>
                <w:rStyle w:val="Hyperlink"/>
                <w:noProof/>
              </w:rPr>
              <w:t>Introduction</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_Toc74670321 \h </w:instrText>
            </w:r>
            <w:r w:rsidR="00BD0CEA" w:rsidRPr="00B91524">
              <w:rPr>
                <w:noProof/>
                <w:webHidden/>
              </w:rPr>
            </w:r>
            <w:r w:rsidR="00BD0CEA" w:rsidRPr="00B91524">
              <w:rPr>
                <w:noProof/>
                <w:webHidden/>
              </w:rPr>
              <w:fldChar w:fldCharType="separate"/>
            </w:r>
            <w:r>
              <w:rPr>
                <w:noProof/>
                <w:webHidden/>
              </w:rPr>
              <w:t>17</w:t>
            </w:r>
            <w:r w:rsidR="00BD0CEA" w:rsidRPr="00B91524">
              <w:rPr>
                <w:noProof/>
                <w:webHidden/>
              </w:rPr>
              <w:fldChar w:fldCharType="end"/>
            </w:r>
          </w:hyperlink>
        </w:p>
        <w:p w14:paraId="2DA0A4D2" w14:textId="2C666B3F" w:rsidR="00BD0CEA" w:rsidRPr="00B91524" w:rsidRDefault="00683595">
          <w:pPr>
            <w:pStyle w:val="TOC2"/>
            <w:tabs>
              <w:tab w:val="left" w:pos="880"/>
              <w:tab w:val="right" w:leader="dot" w:pos="9746"/>
            </w:tabs>
            <w:rPr>
              <w:rFonts w:asciiTheme="minorHAnsi" w:eastAsiaTheme="minorEastAsia" w:hAnsiTheme="minorHAnsi" w:cstheme="minorBidi"/>
              <w:noProof/>
              <w:szCs w:val="22"/>
              <w:lang w:eastAsia="en-GB"/>
            </w:rPr>
          </w:pPr>
          <w:hyperlink w:anchor="_Toc74670322" w:history="1">
            <w:r w:rsidR="00BD0CEA" w:rsidRPr="00B91524">
              <w:rPr>
                <w:rStyle w:val="Hyperlink"/>
                <w:noProof/>
              </w:rPr>
              <w:t>3.2</w:t>
            </w:r>
            <w:r w:rsidR="00BD0CEA" w:rsidRPr="00B91524">
              <w:rPr>
                <w:rFonts w:asciiTheme="minorHAnsi" w:eastAsiaTheme="minorEastAsia" w:hAnsiTheme="minorHAnsi" w:cstheme="minorBidi"/>
                <w:noProof/>
                <w:szCs w:val="22"/>
                <w:lang w:eastAsia="en-GB"/>
              </w:rPr>
              <w:tab/>
            </w:r>
            <w:r w:rsidR="00BD0CEA" w:rsidRPr="00B91524">
              <w:rPr>
                <w:rStyle w:val="Hyperlink"/>
                <w:noProof/>
              </w:rPr>
              <w:t>findings of the environmental statement</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_Toc74670322 \h </w:instrText>
            </w:r>
            <w:r w:rsidR="00BD0CEA" w:rsidRPr="00B91524">
              <w:rPr>
                <w:noProof/>
                <w:webHidden/>
              </w:rPr>
            </w:r>
            <w:r w:rsidR="00BD0CEA" w:rsidRPr="00B91524">
              <w:rPr>
                <w:noProof/>
                <w:webHidden/>
              </w:rPr>
              <w:fldChar w:fldCharType="separate"/>
            </w:r>
            <w:r>
              <w:rPr>
                <w:noProof/>
                <w:webHidden/>
              </w:rPr>
              <w:t>18</w:t>
            </w:r>
            <w:r w:rsidR="00BD0CEA" w:rsidRPr="00B91524">
              <w:rPr>
                <w:noProof/>
                <w:webHidden/>
              </w:rPr>
              <w:fldChar w:fldCharType="end"/>
            </w:r>
          </w:hyperlink>
        </w:p>
        <w:p w14:paraId="06DFD460" w14:textId="0DC3ABF9" w:rsidR="00BD0CEA" w:rsidRPr="00B91524" w:rsidRDefault="00683595">
          <w:pPr>
            <w:pStyle w:val="TOC2"/>
            <w:tabs>
              <w:tab w:val="left" w:pos="880"/>
              <w:tab w:val="right" w:leader="dot" w:pos="9746"/>
            </w:tabs>
            <w:rPr>
              <w:rFonts w:asciiTheme="minorHAnsi" w:eastAsiaTheme="minorEastAsia" w:hAnsiTheme="minorHAnsi" w:cstheme="minorBidi"/>
              <w:noProof/>
              <w:szCs w:val="22"/>
              <w:lang w:eastAsia="en-GB"/>
            </w:rPr>
          </w:pPr>
          <w:hyperlink w:anchor="_Toc74670323" w:history="1">
            <w:r w:rsidR="00BD0CEA" w:rsidRPr="00B91524">
              <w:rPr>
                <w:rStyle w:val="Hyperlink"/>
                <w:noProof/>
              </w:rPr>
              <w:t>3.3</w:t>
            </w:r>
            <w:r w:rsidR="00BD0CEA" w:rsidRPr="00B91524">
              <w:rPr>
                <w:rFonts w:asciiTheme="minorHAnsi" w:eastAsiaTheme="minorEastAsia" w:hAnsiTheme="minorHAnsi" w:cstheme="minorBidi"/>
                <w:noProof/>
                <w:szCs w:val="22"/>
                <w:lang w:eastAsia="en-GB"/>
              </w:rPr>
              <w:tab/>
            </w:r>
            <w:r w:rsidR="00BD0CEA" w:rsidRPr="00B91524">
              <w:rPr>
                <w:rStyle w:val="Hyperlink"/>
                <w:noProof/>
              </w:rPr>
              <w:t>Findings of the Report to Inform Appropriate Assessment</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_Toc74670323 \h </w:instrText>
            </w:r>
            <w:r w:rsidR="00BD0CEA" w:rsidRPr="00B91524">
              <w:rPr>
                <w:noProof/>
                <w:webHidden/>
              </w:rPr>
            </w:r>
            <w:r w:rsidR="00BD0CEA" w:rsidRPr="00B91524">
              <w:rPr>
                <w:noProof/>
                <w:webHidden/>
              </w:rPr>
              <w:fldChar w:fldCharType="separate"/>
            </w:r>
            <w:r>
              <w:rPr>
                <w:noProof/>
                <w:webHidden/>
              </w:rPr>
              <w:t>18</w:t>
            </w:r>
            <w:r w:rsidR="00BD0CEA" w:rsidRPr="00B91524">
              <w:rPr>
                <w:noProof/>
                <w:webHidden/>
              </w:rPr>
              <w:fldChar w:fldCharType="end"/>
            </w:r>
          </w:hyperlink>
        </w:p>
        <w:p w14:paraId="53E3104F" w14:textId="41E779E9" w:rsidR="00BD0CEA" w:rsidRPr="00B91524" w:rsidRDefault="00683595">
          <w:pPr>
            <w:pStyle w:val="TOC2"/>
            <w:tabs>
              <w:tab w:val="left" w:pos="880"/>
              <w:tab w:val="right" w:leader="dot" w:pos="9746"/>
            </w:tabs>
            <w:rPr>
              <w:rFonts w:asciiTheme="minorHAnsi" w:eastAsiaTheme="minorEastAsia" w:hAnsiTheme="minorHAnsi" w:cstheme="minorBidi"/>
              <w:noProof/>
              <w:szCs w:val="22"/>
              <w:lang w:eastAsia="en-GB"/>
            </w:rPr>
          </w:pPr>
          <w:hyperlink w:anchor="_Toc74670324" w:history="1">
            <w:r w:rsidR="00BD0CEA" w:rsidRPr="00B91524">
              <w:rPr>
                <w:rStyle w:val="Hyperlink"/>
                <w:noProof/>
              </w:rPr>
              <w:t>3.4</w:t>
            </w:r>
            <w:r w:rsidR="00BD0CEA" w:rsidRPr="00B91524">
              <w:rPr>
                <w:rFonts w:asciiTheme="minorHAnsi" w:eastAsiaTheme="minorEastAsia" w:hAnsiTheme="minorHAnsi" w:cstheme="minorBidi"/>
                <w:noProof/>
                <w:szCs w:val="22"/>
                <w:lang w:eastAsia="en-GB"/>
              </w:rPr>
              <w:tab/>
            </w:r>
            <w:r w:rsidR="00BD0CEA" w:rsidRPr="00B91524">
              <w:rPr>
                <w:rStyle w:val="Hyperlink"/>
                <w:noProof/>
              </w:rPr>
              <w:t>Non-material Change Applications and deemed Marine Licence Variations</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_Toc74670324 \h </w:instrText>
            </w:r>
            <w:r w:rsidR="00BD0CEA" w:rsidRPr="00B91524">
              <w:rPr>
                <w:noProof/>
                <w:webHidden/>
              </w:rPr>
            </w:r>
            <w:r w:rsidR="00BD0CEA" w:rsidRPr="00B91524">
              <w:rPr>
                <w:noProof/>
                <w:webHidden/>
              </w:rPr>
              <w:fldChar w:fldCharType="separate"/>
            </w:r>
            <w:r>
              <w:rPr>
                <w:noProof/>
                <w:webHidden/>
              </w:rPr>
              <w:t>19</w:t>
            </w:r>
            <w:r w:rsidR="00BD0CEA" w:rsidRPr="00B91524">
              <w:rPr>
                <w:noProof/>
                <w:webHidden/>
              </w:rPr>
              <w:fldChar w:fldCharType="end"/>
            </w:r>
          </w:hyperlink>
        </w:p>
        <w:p w14:paraId="48F591B2" w14:textId="7BB8E652" w:rsidR="00BD0CEA" w:rsidRPr="00B91524" w:rsidRDefault="00683595">
          <w:pPr>
            <w:pStyle w:val="TOC2"/>
            <w:tabs>
              <w:tab w:val="left" w:pos="880"/>
              <w:tab w:val="right" w:leader="dot" w:pos="9746"/>
            </w:tabs>
            <w:rPr>
              <w:rFonts w:asciiTheme="minorHAnsi" w:eastAsiaTheme="minorEastAsia" w:hAnsiTheme="minorHAnsi" w:cstheme="minorBidi"/>
              <w:noProof/>
              <w:szCs w:val="22"/>
              <w:lang w:eastAsia="en-GB"/>
            </w:rPr>
          </w:pPr>
          <w:hyperlink w:anchor="_Toc74670325" w:history="1">
            <w:r w:rsidR="00BD0CEA" w:rsidRPr="00B91524">
              <w:rPr>
                <w:rStyle w:val="Hyperlink"/>
                <w:noProof/>
              </w:rPr>
              <w:t>3.5</w:t>
            </w:r>
            <w:r w:rsidR="00BD0CEA" w:rsidRPr="00B91524">
              <w:rPr>
                <w:rFonts w:asciiTheme="minorHAnsi" w:eastAsiaTheme="minorEastAsia" w:hAnsiTheme="minorHAnsi" w:cstheme="minorBidi"/>
                <w:noProof/>
                <w:szCs w:val="22"/>
                <w:lang w:eastAsia="en-GB"/>
              </w:rPr>
              <w:tab/>
            </w:r>
            <w:r w:rsidR="00BD0CEA" w:rsidRPr="00B91524">
              <w:rPr>
                <w:rStyle w:val="Hyperlink"/>
                <w:noProof/>
              </w:rPr>
              <w:t>Benthic monitoring note</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_Toc74670325 \h </w:instrText>
            </w:r>
            <w:r w:rsidR="00BD0CEA" w:rsidRPr="00B91524">
              <w:rPr>
                <w:noProof/>
                <w:webHidden/>
              </w:rPr>
            </w:r>
            <w:r w:rsidR="00BD0CEA" w:rsidRPr="00B91524">
              <w:rPr>
                <w:noProof/>
                <w:webHidden/>
              </w:rPr>
              <w:fldChar w:fldCharType="separate"/>
            </w:r>
            <w:r>
              <w:rPr>
                <w:noProof/>
                <w:webHidden/>
              </w:rPr>
              <w:t>19</w:t>
            </w:r>
            <w:r w:rsidR="00BD0CEA" w:rsidRPr="00B91524">
              <w:rPr>
                <w:noProof/>
                <w:webHidden/>
              </w:rPr>
              <w:fldChar w:fldCharType="end"/>
            </w:r>
          </w:hyperlink>
        </w:p>
        <w:p w14:paraId="0FE34231" w14:textId="73080A78" w:rsidR="00BD0CEA" w:rsidRPr="00B91524" w:rsidRDefault="00683595">
          <w:pPr>
            <w:pStyle w:val="TOC2"/>
            <w:tabs>
              <w:tab w:val="left" w:pos="880"/>
              <w:tab w:val="right" w:leader="dot" w:pos="9746"/>
            </w:tabs>
            <w:rPr>
              <w:rFonts w:asciiTheme="minorHAnsi" w:eastAsiaTheme="minorEastAsia" w:hAnsiTheme="minorHAnsi" w:cstheme="minorBidi"/>
              <w:noProof/>
              <w:szCs w:val="22"/>
              <w:lang w:eastAsia="en-GB"/>
            </w:rPr>
          </w:pPr>
          <w:hyperlink w:anchor="_Toc74670326" w:history="1">
            <w:r w:rsidR="00BD0CEA" w:rsidRPr="00B91524">
              <w:rPr>
                <w:rStyle w:val="Hyperlink"/>
                <w:noProof/>
              </w:rPr>
              <w:t>3.6</w:t>
            </w:r>
            <w:r w:rsidR="00BD0CEA" w:rsidRPr="00B91524">
              <w:rPr>
                <w:rFonts w:asciiTheme="minorHAnsi" w:eastAsiaTheme="minorEastAsia" w:hAnsiTheme="minorHAnsi" w:cstheme="minorBidi"/>
                <w:noProof/>
                <w:szCs w:val="22"/>
                <w:lang w:eastAsia="en-GB"/>
              </w:rPr>
              <w:tab/>
            </w:r>
            <w:r w:rsidR="00BD0CEA" w:rsidRPr="00B91524">
              <w:rPr>
                <w:rStyle w:val="Hyperlink"/>
                <w:noProof/>
              </w:rPr>
              <w:t>BMP: Supporting Studies document</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_Toc74670326 \h </w:instrText>
            </w:r>
            <w:r w:rsidR="00BD0CEA" w:rsidRPr="00B91524">
              <w:rPr>
                <w:noProof/>
                <w:webHidden/>
              </w:rPr>
            </w:r>
            <w:r w:rsidR="00BD0CEA" w:rsidRPr="00B91524">
              <w:rPr>
                <w:noProof/>
                <w:webHidden/>
              </w:rPr>
              <w:fldChar w:fldCharType="separate"/>
            </w:r>
            <w:r>
              <w:rPr>
                <w:noProof/>
                <w:webHidden/>
              </w:rPr>
              <w:t>19</w:t>
            </w:r>
            <w:r w:rsidR="00BD0CEA" w:rsidRPr="00B91524">
              <w:rPr>
                <w:noProof/>
                <w:webHidden/>
              </w:rPr>
              <w:fldChar w:fldCharType="end"/>
            </w:r>
          </w:hyperlink>
        </w:p>
        <w:p w14:paraId="1C6F1431" w14:textId="419A984F" w:rsidR="00BD0CEA" w:rsidRPr="00B91524" w:rsidRDefault="00683595">
          <w:pPr>
            <w:pStyle w:val="TOC2"/>
            <w:tabs>
              <w:tab w:val="left" w:pos="880"/>
              <w:tab w:val="right" w:leader="dot" w:pos="9746"/>
            </w:tabs>
            <w:rPr>
              <w:rFonts w:asciiTheme="minorHAnsi" w:eastAsiaTheme="minorEastAsia" w:hAnsiTheme="minorHAnsi" w:cstheme="minorBidi"/>
              <w:noProof/>
              <w:szCs w:val="22"/>
              <w:lang w:eastAsia="en-GB"/>
            </w:rPr>
          </w:pPr>
          <w:hyperlink w:anchor="_Toc74670327" w:history="1">
            <w:r w:rsidR="00BD0CEA" w:rsidRPr="00B91524">
              <w:rPr>
                <w:rStyle w:val="Hyperlink"/>
                <w:noProof/>
              </w:rPr>
              <w:t>3.7</w:t>
            </w:r>
            <w:r w:rsidR="00BD0CEA" w:rsidRPr="00B91524">
              <w:rPr>
                <w:rFonts w:asciiTheme="minorHAnsi" w:eastAsiaTheme="minorEastAsia" w:hAnsiTheme="minorHAnsi" w:cstheme="minorBidi"/>
                <w:noProof/>
                <w:szCs w:val="22"/>
                <w:lang w:eastAsia="en-GB"/>
              </w:rPr>
              <w:tab/>
            </w:r>
            <w:r w:rsidR="00BD0CEA" w:rsidRPr="00B91524">
              <w:rPr>
                <w:rStyle w:val="Hyperlink"/>
                <w:noProof/>
              </w:rPr>
              <w:t>Characterisation sampling mapping</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_Toc74670327 \h </w:instrText>
            </w:r>
            <w:r w:rsidR="00BD0CEA" w:rsidRPr="00B91524">
              <w:rPr>
                <w:noProof/>
                <w:webHidden/>
              </w:rPr>
            </w:r>
            <w:r w:rsidR="00BD0CEA" w:rsidRPr="00B91524">
              <w:rPr>
                <w:noProof/>
                <w:webHidden/>
              </w:rPr>
              <w:fldChar w:fldCharType="separate"/>
            </w:r>
            <w:r>
              <w:rPr>
                <w:noProof/>
                <w:webHidden/>
              </w:rPr>
              <w:t>20</w:t>
            </w:r>
            <w:r w:rsidR="00BD0CEA" w:rsidRPr="00B91524">
              <w:rPr>
                <w:noProof/>
                <w:webHidden/>
              </w:rPr>
              <w:fldChar w:fldCharType="end"/>
            </w:r>
          </w:hyperlink>
        </w:p>
        <w:p w14:paraId="6C664CBA" w14:textId="2B56D659" w:rsidR="00BD0CEA" w:rsidRPr="00B91524" w:rsidRDefault="00683595">
          <w:pPr>
            <w:pStyle w:val="TOC2"/>
            <w:tabs>
              <w:tab w:val="left" w:pos="880"/>
              <w:tab w:val="right" w:leader="dot" w:pos="9746"/>
            </w:tabs>
            <w:rPr>
              <w:rFonts w:asciiTheme="minorHAnsi" w:eastAsiaTheme="minorEastAsia" w:hAnsiTheme="minorHAnsi" w:cstheme="minorBidi"/>
              <w:noProof/>
              <w:szCs w:val="22"/>
              <w:lang w:eastAsia="en-GB"/>
            </w:rPr>
          </w:pPr>
          <w:hyperlink w:anchor="_Toc74670328" w:history="1">
            <w:r w:rsidR="00BD0CEA" w:rsidRPr="00B91524">
              <w:rPr>
                <w:rStyle w:val="Hyperlink"/>
                <w:noProof/>
              </w:rPr>
              <w:t>3.8</w:t>
            </w:r>
            <w:r w:rsidR="00BD0CEA" w:rsidRPr="00B91524">
              <w:rPr>
                <w:rFonts w:asciiTheme="minorHAnsi" w:eastAsiaTheme="minorEastAsia" w:hAnsiTheme="minorHAnsi" w:cstheme="minorBidi"/>
                <w:noProof/>
                <w:szCs w:val="22"/>
                <w:lang w:eastAsia="en-GB"/>
              </w:rPr>
              <w:tab/>
            </w:r>
            <w:r w:rsidR="00BD0CEA" w:rsidRPr="00B91524">
              <w:rPr>
                <w:rStyle w:val="Hyperlink"/>
                <w:noProof/>
              </w:rPr>
              <w:t>Engagement with senckenberg research institute</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_Toc74670328 \h </w:instrText>
            </w:r>
            <w:r w:rsidR="00BD0CEA" w:rsidRPr="00B91524">
              <w:rPr>
                <w:noProof/>
                <w:webHidden/>
              </w:rPr>
            </w:r>
            <w:r w:rsidR="00BD0CEA" w:rsidRPr="00B91524">
              <w:rPr>
                <w:noProof/>
                <w:webHidden/>
              </w:rPr>
              <w:fldChar w:fldCharType="separate"/>
            </w:r>
            <w:r>
              <w:rPr>
                <w:noProof/>
                <w:webHidden/>
              </w:rPr>
              <w:t>20</w:t>
            </w:r>
            <w:r w:rsidR="00BD0CEA" w:rsidRPr="00B91524">
              <w:rPr>
                <w:noProof/>
                <w:webHidden/>
              </w:rPr>
              <w:fldChar w:fldCharType="end"/>
            </w:r>
          </w:hyperlink>
        </w:p>
        <w:p w14:paraId="2B9A6CDD" w14:textId="20EEE1AC" w:rsidR="00BD0CEA" w:rsidRPr="00B91524" w:rsidRDefault="00683595">
          <w:pPr>
            <w:pStyle w:val="TOC2"/>
            <w:tabs>
              <w:tab w:val="left" w:pos="880"/>
              <w:tab w:val="right" w:leader="dot" w:pos="9746"/>
            </w:tabs>
            <w:rPr>
              <w:rFonts w:asciiTheme="minorHAnsi" w:eastAsiaTheme="minorEastAsia" w:hAnsiTheme="minorHAnsi" w:cstheme="minorBidi"/>
              <w:noProof/>
              <w:szCs w:val="22"/>
              <w:lang w:eastAsia="en-GB"/>
            </w:rPr>
          </w:pPr>
          <w:hyperlink w:anchor="_Toc74670329" w:history="1">
            <w:r w:rsidR="00BD0CEA" w:rsidRPr="00B91524">
              <w:rPr>
                <w:rStyle w:val="Hyperlink"/>
                <w:noProof/>
              </w:rPr>
              <w:t>3.9</w:t>
            </w:r>
            <w:r w:rsidR="00BD0CEA" w:rsidRPr="00B91524">
              <w:rPr>
                <w:rFonts w:asciiTheme="minorHAnsi" w:eastAsiaTheme="minorEastAsia" w:hAnsiTheme="minorHAnsi" w:cstheme="minorBidi"/>
                <w:noProof/>
                <w:szCs w:val="22"/>
                <w:lang w:eastAsia="en-GB"/>
              </w:rPr>
              <w:tab/>
            </w:r>
            <w:r w:rsidR="00BD0CEA" w:rsidRPr="00B91524">
              <w:rPr>
                <w:rStyle w:val="Hyperlink"/>
                <w:noProof/>
              </w:rPr>
              <w:t>relevant guidance documents</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_Toc74670329 \h </w:instrText>
            </w:r>
            <w:r w:rsidR="00BD0CEA" w:rsidRPr="00B91524">
              <w:rPr>
                <w:noProof/>
                <w:webHidden/>
              </w:rPr>
            </w:r>
            <w:r w:rsidR="00BD0CEA" w:rsidRPr="00B91524">
              <w:rPr>
                <w:noProof/>
                <w:webHidden/>
              </w:rPr>
              <w:fldChar w:fldCharType="separate"/>
            </w:r>
            <w:r>
              <w:rPr>
                <w:noProof/>
                <w:webHidden/>
              </w:rPr>
              <w:t>21</w:t>
            </w:r>
            <w:r w:rsidR="00BD0CEA" w:rsidRPr="00B91524">
              <w:rPr>
                <w:noProof/>
                <w:webHidden/>
              </w:rPr>
              <w:fldChar w:fldCharType="end"/>
            </w:r>
          </w:hyperlink>
        </w:p>
        <w:p w14:paraId="5E4F2656" w14:textId="462EDD22" w:rsidR="00BD0CEA" w:rsidRPr="00B91524" w:rsidRDefault="00683595">
          <w:pPr>
            <w:pStyle w:val="TOC1"/>
            <w:tabs>
              <w:tab w:val="left" w:pos="440"/>
              <w:tab w:val="right" w:leader="dot" w:pos="9746"/>
            </w:tabs>
            <w:rPr>
              <w:rFonts w:asciiTheme="minorHAnsi" w:eastAsiaTheme="minorEastAsia" w:hAnsiTheme="minorHAnsi" w:cstheme="minorBidi"/>
              <w:noProof/>
              <w:szCs w:val="22"/>
              <w:lang w:eastAsia="en-GB"/>
            </w:rPr>
          </w:pPr>
          <w:hyperlink w:anchor="_Toc74670330" w:history="1">
            <w:r w:rsidR="00BD0CEA" w:rsidRPr="00B91524">
              <w:rPr>
                <w:rStyle w:val="Hyperlink"/>
                <w:rFonts w:cs="Arial"/>
                <w:noProof/>
              </w:rPr>
              <w:t>4.</w:t>
            </w:r>
            <w:r w:rsidR="00BD0CEA" w:rsidRPr="00B91524">
              <w:rPr>
                <w:rFonts w:asciiTheme="minorHAnsi" w:eastAsiaTheme="minorEastAsia" w:hAnsiTheme="minorHAnsi" w:cstheme="minorBidi"/>
                <w:noProof/>
                <w:szCs w:val="22"/>
                <w:lang w:eastAsia="en-GB"/>
              </w:rPr>
              <w:tab/>
            </w:r>
            <w:r w:rsidR="00BD0CEA" w:rsidRPr="00B91524">
              <w:rPr>
                <w:rStyle w:val="Hyperlink"/>
                <w:noProof/>
              </w:rPr>
              <w:t>Aproach To benthic Monitoring</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_Toc74670330 \h </w:instrText>
            </w:r>
            <w:r w:rsidR="00BD0CEA" w:rsidRPr="00B91524">
              <w:rPr>
                <w:noProof/>
                <w:webHidden/>
              </w:rPr>
            </w:r>
            <w:r w:rsidR="00BD0CEA" w:rsidRPr="00B91524">
              <w:rPr>
                <w:noProof/>
                <w:webHidden/>
              </w:rPr>
              <w:fldChar w:fldCharType="separate"/>
            </w:r>
            <w:r>
              <w:rPr>
                <w:noProof/>
                <w:webHidden/>
              </w:rPr>
              <w:t>21</w:t>
            </w:r>
            <w:r w:rsidR="00BD0CEA" w:rsidRPr="00B91524">
              <w:rPr>
                <w:noProof/>
                <w:webHidden/>
              </w:rPr>
              <w:fldChar w:fldCharType="end"/>
            </w:r>
          </w:hyperlink>
        </w:p>
        <w:p w14:paraId="1D7E9918" w14:textId="302F0759" w:rsidR="00BD0CEA" w:rsidRPr="00B91524" w:rsidRDefault="00683595">
          <w:pPr>
            <w:pStyle w:val="TOC2"/>
            <w:tabs>
              <w:tab w:val="left" w:pos="880"/>
              <w:tab w:val="right" w:leader="dot" w:pos="9746"/>
            </w:tabs>
            <w:rPr>
              <w:rFonts w:asciiTheme="minorHAnsi" w:eastAsiaTheme="minorEastAsia" w:hAnsiTheme="minorHAnsi" w:cstheme="minorBidi"/>
              <w:noProof/>
              <w:szCs w:val="22"/>
              <w:lang w:eastAsia="en-GB"/>
            </w:rPr>
          </w:pPr>
          <w:hyperlink w:anchor="_Toc74670331" w:history="1">
            <w:r w:rsidR="00BD0CEA" w:rsidRPr="00B91524">
              <w:rPr>
                <w:rStyle w:val="Hyperlink"/>
                <w:noProof/>
              </w:rPr>
              <w:t>4.1</w:t>
            </w:r>
            <w:r w:rsidR="00BD0CEA" w:rsidRPr="00B91524">
              <w:rPr>
                <w:rFonts w:asciiTheme="minorHAnsi" w:eastAsiaTheme="minorEastAsia" w:hAnsiTheme="minorHAnsi" w:cstheme="minorBidi"/>
                <w:noProof/>
                <w:szCs w:val="22"/>
                <w:lang w:eastAsia="en-GB"/>
              </w:rPr>
              <w:tab/>
            </w:r>
            <w:r w:rsidR="00BD0CEA" w:rsidRPr="00B91524">
              <w:rPr>
                <w:rStyle w:val="Hyperlink"/>
                <w:noProof/>
              </w:rPr>
              <w:t>Features of focus</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_Toc74670331 \h </w:instrText>
            </w:r>
            <w:r w:rsidR="00BD0CEA" w:rsidRPr="00B91524">
              <w:rPr>
                <w:noProof/>
                <w:webHidden/>
              </w:rPr>
            </w:r>
            <w:r w:rsidR="00BD0CEA" w:rsidRPr="00B91524">
              <w:rPr>
                <w:noProof/>
                <w:webHidden/>
              </w:rPr>
              <w:fldChar w:fldCharType="separate"/>
            </w:r>
            <w:r>
              <w:rPr>
                <w:noProof/>
                <w:webHidden/>
              </w:rPr>
              <w:t>21</w:t>
            </w:r>
            <w:r w:rsidR="00BD0CEA" w:rsidRPr="00B91524">
              <w:rPr>
                <w:noProof/>
                <w:webHidden/>
              </w:rPr>
              <w:fldChar w:fldCharType="end"/>
            </w:r>
          </w:hyperlink>
        </w:p>
        <w:p w14:paraId="1CC3FE1F" w14:textId="1905A43E" w:rsidR="00BD0CEA" w:rsidRPr="00B91524" w:rsidRDefault="00683595">
          <w:pPr>
            <w:pStyle w:val="TOC2"/>
            <w:tabs>
              <w:tab w:val="left" w:pos="880"/>
              <w:tab w:val="right" w:leader="dot" w:pos="9746"/>
            </w:tabs>
            <w:rPr>
              <w:rFonts w:asciiTheme="minorHAnsi" w:eastAsiaTheme="minorEastAsia" w:hAnsiTheme="minorHAnsi" w:cstheme="minorBidi"/>
              <w:noProof/>
              <w:szCs w:val="22"/>
              <w:lang w:eastAsia="en-GB"/>
            </w:rPr>
          </w:pPr>
          <w:hyperlink w:anchor="_Toc74670332" w:history="1">
            <w:r w:rsidR="00BD0CEA" w:rsidRPr="00B91524">
              <w:rPr>
                <w:rStyle w:val="Hyperlink"/>
                <w:noProof/>
              </w:rPr>
              <w:t>4.2</w:t>
            </w:r>
            <w:r w:rsidR="00BD0CEA" w:rsidRPr="00B91524">
              <w:rPr>
                <w:rFonts w:asciiTheme="minorHAnsi" w:eastAsiaTheme="minorEastAsia" w:hAnsiTheme="minorHAnsi" w:cstheme="minorBidi"/>
                <w:noProof/>
                <w:szCs w:val="22"/>
                <w:lang w:eastAsia="en-GB"/>
              </w:rPr>
              <w:tab/>
            </w:r>
            <w:r w:rsidR="00BD0CEA" w:rsidRPr="00B91524">
              <w:rPr>
                <w:rStyle w:val="Hyperlink"/>
                <w:noProof/>
              </w:rPr>
              <w:t>Feature of Focus i: sediments</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_Toc74670332 \h </w:instrText>
            </w:r>
            <w:r w:rsidR="00BD0CEA" w:rsidRPr="00B91524">
              <w:rPr>
                <w:noProof/>
                <w:webHidden/>
              </w:rPr>
            </w:r>
            <w:r w:rsidR="00BD0CEA" w:rsidRPr="00B91524">
              <w:rPr>
                <w:noProof/>
                <w:webHidden/>
              </w:rPr>
              <w:fldChar w:fldCharType="separate"/>
            </w:r>
            <w:r>
              <w:rPr>
                <w:noProof/>
                <w:webHidden/>
              </w:rPr>
              <w:t>21</w:t>
            </w:r>
            <w:r w:rsidR="00BD0CEA" w:rsidRPr="00B91524">
              <w:rPr>
                <w:noProof/>
                <w:webHidden/>
              </w:rPr>
              <w:fldChar w:fldCharType="end"/>
            </w:r>
          </w:hyperlink>
        </w:p>
        <w:p w14:paraId="25F89AEB" w14:textId="6256AF20" w:rsidR="00BD0CEA" w:rsidRPr="00B91524" w:rsidRDefault="00683595">
          <w:pPr>
            <w:pStyle w:val="TOC3"/>
            <w:tabs>
              <w:tab w:val="right" w:leader="dot" w:pos="9746"/>
            </w:tabs>
            <w:rPr>
              <w:rFonts w:asciiTheme="minorHAnsi" w:eastAsiaTheme="minorEastAsia" w:hAnsiTheme="minorHAnsi" w:cstheme="minorBidi"/>
              <w:noProof/>
              <w:szCs w:val="22"/>
              <w:lang w:eastAsia="en-GB"/>
            </w:rPr>
          </w:pPr>
          <w:hyperlink w:anchor="_Toc74670333" w:history="1">
            <w:r w:rsidR="00BD0CEA" w:rsidRPr="00B91524">
              <w:rPr>
                <w:rStyle w:val="Hyperlink"/>
                <w:noProof/>
              </w:rPr>
              <w:t>Objective</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_Toc74670333 \h </w:instrText>
            </w:r>
            <w:r w:rsidR="00BD0CEA" w:rsidRPr="00B91524">
              <w:rPr>
                <w:noProof/>
                <w:webHidden/>
              </w:rPr>
            </w:r>
            <w:r w:rsidR="00BD0CEA" w:rsidRPr="00B91524">
              <w:rPr>
                <w:noProof/>
                <w:webHidden/>
              </w:rPr>
              <w:fldChar w:fldCharType="separate"/>
            </w:r>
            <w:r>
              <w:rPr>
                <w:noProof/>
                <w:webHidden/>
              </w:rPr>
              <w:t>21</w:t>
            </w:r>
            <w:r w:rsidR="00BD0CEA" w:rsidRPr="00B91524">
              <w:rPr>
                <w:noProof/>
                <w:webHidden/>
              </w:rPr>
              <w:fldChar w:fldCharType="end"/>
            </w:r>
          </w:hyperlink>
        </w:p>
        <w:p w14:paraId="4D5BF0ED" w14:textId="588C7944" w:rsidR="00BD0CEA" w:rsidRPr="00B91524" w:rsidRDefault="00683595">
          <w:pPr>
            <w:pStyle w:val="TOC3"/>
            <w:tabs>
              <w:tab w:val="right" w:leader="dot" w:pos="9746"/>
            </w:tabs>
            <w:rPr>
              <w:rFonts w:asciiTheme="minorHAnsi" w:eastAsiaTheme="minorEastAsia" w:hAnsiTheme="minorHAnsi" w:cstheme="minorBidi"/>
              <w:noProof/>
              <w:szCs w:val="22"/>
              <w:lang w:eastAsia="en-GB"/>
            </w:rPr>
          </w:pPr>
          <w:hyperlink w:anchor="_Toc74670334" w:history="1">
            <w:r w:rsidR="00BD0CEA" w:rsidRPr="00B91524">
              <w:rPr>
                <w:rStyle w:val="Hyperlink"/>
                <w:noProof/>
              </w:rPr>
              <w:t>Survey design</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_Toc74670334 \h </w:instrText>
            </w:r>
            <w:r w:rsidR="00BD0CEA" w:rsidRPr="00B91524">
              <w:rPr>
                <w:noProof/>
                <w:webHidden/>
              </w:rPr>
            </w:r>
            <w:r w:rsidR="00BD0CEA" w:rsidRPr="00B91524">
              <w:rPr>
                <w:noProof/>
                <w:webHidden/>
              </w:rPr>
              <w:fldChar w:fldCharType="separate"/>
            </w:r>
            <w:r>
              <w:rPr>
                <w:noProof/>
                <w:webHidden/>
              </w:rPr>
              <w:t>21</w:t>
            </w:r>
            <w:r w:rsidR="00BD0CEA" w:rsidRPr="00B91524">
              <w:rPr>
                <w:noProof/>
                <w:webHidden/>
              </w:rPr>
              <w:fldChar w:fldCharType="end"/>
            </w:r>
          </w:hyperlink>
        </w:p>
        <w:p w14:paraId="5B369FD8" w14:textId="64CC78ED" w:rsidR="00BD0CEA" w:rsidRPr="00B91524" w:rsidRDefault="00683595">
          <w:pPr>
            <w:pStyle w:val="TOC3"/>
            <w:tabs>
              <w:tab w:val="right" w:leader="dot" w:pos="9746"/>
            </w:tabs>
            <w:rPr>
              <w:rFonts w:asciiTheme="minorHAnsi" w:eastAsiaTheme="minorEastAsia" w:hAnsiTheme="minorHAnsi" w:cstheme="minorBidi"/>
              <w:noProof/>
              <w:szCs w:val="22"/>
              <w:lang w:eastAsia="en-GB"/>
            </w:rPr>
          </w:pPr>
          <w:hyperlink w:anchor="_Toc74670335" w:history="1">
            <w:r w:rsidR="00BD0CEA" w:rsidRPr="00B91524">
              <w:rPr>
                <w:rStyle w:val="Hyperlink"/>
                <w:noProof/>
              </w:rPr>
              <w:t>Approach</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_Toc74670335 \h </w:instrText>
            </w:r>
            <w:r w:rsidR="00BD0CEA" w:rsidRPr="00B91524">
              <w:rPr>
                <w:noProof/>
                <w:webHidden/>
              </w:rPr>
            </w:r>
            <w:r w:rsidR="00BD0CEA" w:rsidRPr="00B91524">
              <w:rPr>
                <w:noProof/>
                <w:webHidden/>
              </w:rPr>
              <w:fldChar w:fldCharType="separate"/>
            </w:r>
            <w:r>
              <w:rPr>
                <w:noProof/>
                <w:webHidden/>
              </w:rPr>
              <w:t>24</w:t>
            </w:r>
            <w:r w:rsidR="00BD0CEA" w:rsidRPr="00B91524">
              <w:rPr>
                <w:noProof/>
                <w:webHidden/>
              </w:rPr>
              <w:fldChar w:fldCharType="end"/>
            </w:r>
          </w:hyperlink>
        </w:p>
        <w:p w14:paraId="599F02F3" w14:textId="4FFCACF2" w:rsidR="00BD0CEA" w:rsidRPr="00B91524" w:rsidRDefault="00683595">
          <w:pPr>
            <w:pStyle w:val="TOC3"/>
            <w:tabs>
              <w:tab w:val="right" w:leader="dot" w:pos="9746"/>
            </w:tabs>
            <w:rPr>
              <w:rFonts w:asciiTheme="minorHAnsi" w:eastAsiaTheme="minorEastAsia" w:hAnsiTheme="minorHAnsi" w:cstheme="minorBidi"/>
              <w:noProof/>
              <w:szCs w:val="22"/>
              <w:lang w:eastAsia="en-GB"/>
            </w:rPr>
          </w:pPr>
          <w:hyperlink w:anchor="_Toc74670336" w:history="1">
            <w:r w:rsidR="00BD0CEA" w:rsidRPr="00B91524">
              <w:rPr>
                <w:rStyle w:val="Hyperlink"/>
                <w:noProof/>
              </w:rPr>
              <w:t>Cumulative Impacts</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_Toc74670336 \h </w:instrText>
            </w:r>
            <w:r w:rsidR="00BD0CEA" w:rsidRPr="00B91524">
              <w:rPr>
                <w:noProof/>
                <w:webHidden/>
              </w:rPr>
            </w:r>
            <w:r w:rsidR="00BD0CEA" w:rsidRPr="00B91524">
              <w:rPr>
                <w:noProof/>
                <w:webHidden/>
              </w:rPr>
              <w:fldChar w:fldCharType="separate"/>
            </w:r>
            <w:r>
              <w:rPr>
                <w:noProof/>
                <w:webHidden/>
              </w:rPr>
              <w:t>25</w:t>
            </w:r>
            <w:r w:rsidR="00BD0CEA" w:rsidRPr="00B91524">
              <w:rPr>
                <w:noProof/>
                <w:webHidden/>
              </w:rPr>
              <w:fldChar w:fldCharType="end"/>
            </w:r>
          </w:hyperlink>
        </w:p>
        <w:p w14:paraId="44410A2E" w14:textId="74F018CA" w:rsidR="00BD0CEA" w:rsidRPr="00B91524" w:rsidRDefault="00683595">
          <w:pPr>
            <w:pStyle w:val="TOC2"/>
            <w:tabs>
              <w:tab w:val="left" w:pos="880"/>
              <w:tab w:val="right" w:leader="dot" w:pos="9746"/>
            </w:tabs>
            <w:rPr>
              <w:rFonts w:asciiTheme="minorHAnsi" w:eastAsiaTheme="minorEastAsia" w:hAnsiTheme="minorHAnsi" w:cstheme="minorBidi"/>
              <w:noProof/>
              <w:szCs w:val="22"/>
              <w:lang w:eastAsia="en-GB"/>
            </w:rPr>
          </w:pPr>
          <w:hyperlink w:anchor="_Toc74670337" w:history="1">
            <w:r w:rsidR="00BD0CEA" w:rsidRPr="00B91524">
              <w:rPr>
                <w:rStyle w:val="Hyperlink"/>
                <w:noProof/>
              </w:rPr>
              <w:t>4.3</w:t>
            </w:r>
            <w:r w:rsidR="00BD0CEA" w:rsidRPr="00B91524">
              <w:rPr>
                <w:rFonts w:asciiTheme="minorHAnsi" w:eastAsiaTheme="minorEastAsia" w:hAnsiTheme="minorHAnsi" w:cstheme="minorBidi"/>
                <w:noProof/>
                <w:szCs w:val="22"/>
                <w:lang w:eastAsia="en-GB"/>
              </w:rPr>
              <w:tab/>
            </w:r>
            <w:r w:rsidR="00BD0CEA" w:rsidRPr="00B91524">
              <w:rPr>
                <w:rStyle w:val="Hyperlink"/>
                <w:noProof/>
              </w:rPr>
              <w:t>Feature of Focus II: Biogenic/geogenic reef</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_Toc74670337 \h </w:instrText>
            </w:r>
            <w:r w:rsidR="00BD0CEA" w:rsidRPr="00B91524">
              <w:rPr>
                <w:noProof/>
                <w:webHidden/>
              </w:rPr>
            </w:r>
            <w:r w:rsidR="00BD0CEA" w:rsidRPr="00B91524">
              <w:rPr>
                <w:noProof/>
                <w:webHidden/>
              </w:rPr>
              <w:fldChar w:fldCharType="separate"/>
            </w:r>
            <w:r>
              <w:rPr>
                <w:noProof/>
                <w:webHidden/>
              </w:rPr>
              <w:t>26</w:t>
            </w:r>
            <w:r w:rsidR="00BD0CEA" w:rsidRPr="00B91524">
              <w:rPr>
                <w:noProof/>
                <w:webHidden/>
              </w:rPr>
              <w:fldChar w:fldCharType="end"/>
            </w:r>
          </w:hyperlink>
        </w:p>
        <w:p w14:paraId="0E3061C1" w14:textId="5CDBFD46" w:rsidR="00BD0CEA" w:rsidRPr="00B91524" w:rsidRDefault="00683595">
          <w:pPr>
            <w:pStyle w:val="TOC3"/>
            <w:tabs>
              <w:tab w:val="right" w:leader="dot" w:pos="9746"/>
            </w:tabs>
            <w:rPr>
              <w:rFonts w:asciiTheme="minorHAnsi" w:eastAsiaTheme="minorEastAsia" w:hAnsiTheme="minorHAnsi" w:cstheme="minorBidi"/>
              <w:noProof/>
              <w:szCs w:val="22"/>
              <w:lang w:eastAsia="en-GB"/>
            </w:rPr>
          </w:pPr>
          <w:hyperlink w:anchor="_Toc74670338" w:history="1">
            <w:r w:rsidR="00BD0CEA" w:rsidRPr="00B91524">
              <w:rPr>
                <w:rStyle w:val="Hyperlink"/>
                <w:noProof/>
              </w:rPr>
              <w:t>Objective</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_Toc74670338 \h </w:instrText>
            </w:r>
            <w:r w:rsidR="00BD0CEA" w:rsidRPr="00B91524">
              <w:rPr>
                <w:noProof/>
                <w:webHidden/>
              </w:rPr>
            </w:r>
            <w:r w:rsidR="00BD0CEA" w:rsidRPr="00B91524">
              <w:rPr>
                <w:noProof/>
                <w:webHidden/>
              </w:rPr>
              <w:fldChar w:fldCharType="separate"/>
            </w:r>
            <w:r>
              <w:rPr>
                <w:noProof/>
                <w:webHidden/>
              </w:rPr>
              <w:t>26</w:t>
            </w:r>
            <w:r w:rsidR="00BD0CEA" w:rsidRPr="00B91524">
              <w:rPr>
                <w:noProof/>
                <w:webHidden/>
              </w:rPr>
              <w:fldChar w:fldCharType="end"/>
            </w:r>
          </w:hyperlink>
        </w:p>
        <w:p w14:paraId="7122D0D3" w14:textId="022064A9" w:rsidR="00BD0CEA" w:rsidRPr="00B91524" w:rsidRDefault="00683595">
          <w:pPr>
            <w:pStyle w:val="TOC3"/>
            <w:tabs>
              <w:tab w:val="right" w:leader="dot" w:pos="9746"/>
            </w:tabs>
            <w:rPr>
              <w:rFonts w:asciiTheme="minorHAnsi" w:eastAsiaTheme="minorEastAsia" w:hAnsiTheme="minorHAnsi" w:cstheme="minorBidi"/>
              <w:noProof/>
              <w:szCs w:val="22"/>
              <w:lang w:eastAsia="en-GB"/>
            </w:rPr>
          </w:pPr>
          <w:hyperlink w:anchor="_Toc74670339" w:history="1">
            <w:r w:rsidR="00BD0CEA" w:rsidRPr="00B91524">
              <w:rPr>
                <w:rStyle w:val="Hyperlink"/>
                <w:noProof/>
              </w:rPr>
              <w:t>Approach</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_Toc74670339 \h </w:instrText>
            </w:r>
            <w:r w:rsidR="00BD0CEA" w:rsidRPr="00B91524">
              <w:rPr>
                <w:noProof/>
                <w:webHidden/>
              </w:rPr>
            </w:r>
            <w:r w:rsidR="00BD0CEA" w:rsidRPr="00B91524">
              <w:rPr>
                <w:noProof/>
                <w:webHidden/>
              </w:rPr>
              <w:fldChar w:fldCharType="separate"/>
            </w:r>
            <w:r>
              <w:rPr>
                <w:noProof/>
                <w:webHidden/>
              </w:rPr>
              <w:t>26</w:t>
            </w:r>
            <w:r w:rsidR="00BD0CEA" w:rsidRPr="00B91524">
              <w:rPr>
                <w:noProof/>
                <w:webHidden/>
              </w:rPr>
              <w:fldChar w:fldCharType="end"/>
            </w:r>
          </w:hyperlink>
        </w:p>
        <w:p w14:paraId="5FB212D4" w14:textId="4E41AD64" w:rsidR="00BD0CEA" w:rsidRPr="00B91524" w:rsidRDefault="00683595">
          <w:pPr>
            <w:pStyle w:val="TOC2"/>
            <w:tabs>
              <w:tab w:val="left" w:pos="880"/>
              <w:tab w:val="right" w:leader="dot" w:pos="9746"/>
            </w:tabs>
            <w:rPr>
              <w:rFonts w:asciiTheme="minorHAnsi" w:eastAsiaTheme="minorEastAsia" w:hAnsiTheme="minorHAnsi" w:cstheme="minorBidi"/>
              <w:noProof/>
              <w:szCs w:val="22"/>
              <w:lang w:eastAsia="en-GB"/>
            </w:rPr>
          </w:pPr>
          <w:hyperlink w:anchor="_Toc74670340" w:history="1">
            <w:r w:rsidR="00BD0CEA" w:rsidRPr="00B91524">
              <w:rPr>
                <w:rStyle w:val="Hyperlink"/>
                <w:noProof/>
              </w:rPr>
              <w:t>4.4</w:t>
            </w:r>
            <w:r w:rsidR="00BD0CEA" w:rsidRPr="00B91524">
              <w:rPr>
                <w:rFonts w:asciiTheme="minorHAnsi" w:eastAsiaTheme="minorEastAsia" w:hAnsiTheme="minorHAnsi" w:cstheme="minorBidi"/>
                <w:noProof/>
                <w:szCs w:val="22"/>
                <w:lang w:eastAsia="en-GB"/>
              </w:rPr>
              <w:tab/>
            </w:r>
            <w:r w:rsidR="00BD0CEA" w:rsidRPr="00B91524">
              <w:rPr>
                <w:rStyle w:val="Hyperlink"/>
                <w:noProof/>
              </w:rPr>
              <w:t>Feature of Focus iII: Invasive non-native species</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_Toc74670340 \h </w:instrText>
            </w:r>
            <w:r w:rsidR="00BD0CEA" w:rsidRPr="00B91524">
              <w:rPr>
                <w:noProof/>
                <w:webHidden/>
              </w:rPr>
            </w:r>
            <w:r w:rsidR="00BD0CEA" w:rsidRPr="00B91524">
              <w:rPr>
                <w:noProof/>
                <w:webHidden/>
              </w:rPr>
              <w:fldChar w:fldCharType="separate"/>
            </w:r>
            <w:r>
              <w:rPr>
                <w:noProof/>
                <w:webHidden/>
              </w:rPr>
              <w:t>27</w:t>
            </w:r>
            <w:r w:rsidR="00BD0CEA" w:rsidRPr="00B91524">
              <w:rPr>
                <w:noProof/>
                <w:webHidden/>
              </w:rPr>
              <w:fldChar w:fldCharType="end"/>
            </w:r>
          </w:hyperlink>
        </w:p>
        <w:p w14:paraId="4D8949AC" w14:textId="1A31D448" w:rsidR="00BD0CEA" w:rsidRPr="00B91524" w:rsidRDefault="00683595">
          <w:pPr>
            <w:pStyle w:val="TOC3"/>
            <w:tabs>
              <w:tab w:val="right" w:leader="dot" w:pos="9746"/>
            </w:tabs>
            <w:rPr>
              <w:rFonts w:asciiTheme="minorHAnsi" w:eastAsiaTheme="minorEastAsia" w:hAnsiTheme="minorHAnsi" w:cstheme="minorBidi"/>
              <w:noProof/>
              <w:szCs w:val="22"/>
              <w:lang w:eastAsia="en-GB"/>
            </w:rPr>
          </w:pPr>
          <w:hyperlink w:anchor="_Toc74670341" w:history="1">
            <w:r w:rsidR="00BD0CEA" w:rsidRPr="00B91524">
              <w:rPr>
                <w:rStyle w:val="Hyperlink"/>
                <w:noProof/>
              </w:rPr>
              <w:t>Objective</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_Toc74670341 \h </w:instrText>
            </w:r>
            <w:r w:rsidR="00BD0CEA" w:rsidRPr="00B91524">
              <w:rPr>
                <w:noProof/>
                <w:webHidden/>
              </w:rPr>
            </w:r>
            <w:r w:rsidR="00BD0CEA" w:rsidRPr="00B91524">
              <w:rPr>
                <w:noProof/>
                <w:webHidden/>
              </w:rPr>
              <w:fldChar w:fldCharType="separate"/>
            </w:r>
            <w:r>
              <w:rPr>
                <w:noProof/>
                <w:webHidden/>
              </w:rPr>
              <w:t>27</w:t>
            </w:r>
            <w:r w:rsidR="00BD0CEA" w:rsidRPr="00B91524">
              <w:rPr>
                <w:noProof/>
                <w:webHidden/>
              </w:rPr>
              <w:fldChar w:fldCharType="end"/>
            </w:r>
          </w:hyperlink>
        </w:p>
        <w:p w14:paraId="26DC3296" w14:textId="7A1AA4C4" w:rsidR="00BD0CEA" w:rsidRPr="00B91524" w:rsidRDefault="00683595">
          <w:pPr>
            <w:pStyle w:val="TOC2"/>
            <w:tabs>
              <w:tab w:val="left" w:pos="880"/>
              <w:tab w:val="right" w:leader="dot" w:pos="9746"/>
            </w:tabs>
            <w:rPr>
              <w:rFonts w:asciiTheme="minorHAnsi" w:eastAsiaTheme="minorEastAsia" w:hAnsiTheme="minorHAnsi" w:cstheme="minorBidi"/>
              <w:noProof/>
              <w:szCs w:val="22"/>
              <w:lang w:eastAsia="en-GB"/>
            </w:rPr>
          </w:pPr>
          <w:hyperlink w:anchor="_Toc74670342" w:history="1">
            <w:r w:rsidR="00BD0CEA" w:rsidRPr="00B91524">
              <w:rPr>
                <w:rStyle w:val="Hyperlink"/>
                <w:noProof/>
              </w:rPr>
              <w:t>4.5</w:t>
            </w:r>
            <w:r w:rsidR="00BD0CEA" w:rsidRPr="00B91524">
              <w:rPr>
                <w:rFonts w:asciiTheme="minorHAnsi" w:eastAsiaTheme="minorEastAsia" w:hAnsiTheme="minorHAnsi" w:cstheme="minorBidi"/>
                <w:noProof/>
                <w:szCs w:val="22"/>
                <w:lang w:eastAsia="en-GB"/>
              </w:rPr>
              <w:tab/>
            </w:r>
            <w:r w:rsidR="00BD0CEA" w:rsidRPr="00B91524">
              <w:rPr>
                <w:rStyle w:val="Hyperlink"/>
                <w:noProof/>
              </w:rPr>
              <w:t>Monitoring Schedule</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_Toc74670342 \h </w:instrText>
            </w:r>
            <w:r w:rsidR="00BD0CEA" w:rsidRPr="00B91524">
              <w:rPr>
                <w:noProof/>
                <w:webHidden/>
              </w:rPr>
            </w:r>
            <w:r w:rsidR="00BD0CEA" w:rsidRPr="00B91524">
              <w:rPr>
                <w:noProof/>
                <w:webHidden/>
              </w:rPr>
              <w:fldChar w:fldCharType="separate"/>
            </w:r>
            <w:r>
              <w:rPr>
                <w:noProof/>
                <w:webHidden/>
              </w:rPr>
              <w:t>28</w:t>
            </w:r>
            <w:r w:rsidR="00BD0CEA" w:rsidRPr="00B91524">
              <w:rPr>
                <w:noProof/>
                <w:webHidden/>
              </w:rPr>
              <w:fldChar w:fldCharType="end"/>
            </w:r>
          </w:hyperlink>
        </w:p>
        <w:p w14:paraId="688D7BEE" w14:textId="26AB705C" w:rsidR="00BD0CEA" w:rsidRPr="00B91524" w:rsidRDefault="00683595">
          <w:pPr>
            <w:pStyle w:val="TOC2"/>
            <w:tabs>
              <w:tab w:val="left" w:pos="880"/>
              <w:tab w:val="right" w:leader="dot" w:pos="9746"/>
            </w:tabs>
            <w:rPr>
              <w:rFonts w:asciiTheme="minorHAnsi" w:eastAsiaTheme="minorEastAsia" w:hAnsiTheme="minorHAnsi" w:cstheme="minorBidi"/>
              <w:noProof/>
              <w:szCs w:val="22"/>
              <w:lang w:eastAsia="en-GB"/>
            </w:rPr>
          </w:pPr>
          <w:hyperlink w:anchor="_Toc74670343" w:history="1">
            <w:r w:rsidR="00BD0CEA" w:rsidRPr="00B91524">
              <w:rPr>
                <w:rStyle w:val="Hyperlink"/>
                <w:rFonts w:eastAsia="Calibri"/>
                <w:noProof/>
                <w:lang w:eastAsia="en-GB"/>
              </w:rPr>
              <w:t>4.6</w:t>
            </w:r>
            <w:r w:rsidR="00BD0CEA" w:rsidRPr="00B91524">
              <w:rPr>
                <w:rFonts w:asciiTheme="minorHAnsi" w:eastAsiaTheme="minorEastAsia" w:hAnsiTheme="minorHAnsi" w:cstheme="minorBidi"/>
                <w:noProof/>
                <w:szCs w:val="22"/>
                <w:lang w:eastAsia="en-GB"/>
              </w:rPr>
              <w:tab/>
            </w:r>
            <w:r w:rsidR="00BD0CEA" w:rsidRPr="00B91524">
              <w:rPr>
                <w:rStyle w:val="Hyperlink"/>
                <w:rFonts w:eastAsia="Calibri"/>
                <w:noProof/>
                <w:lang w:eastAsia="en-GB"/>
              </w:rPr>
              <w:t>Reporting</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_Toc74670343 \h </w:instrText>
            </w:r>
            <w:r w:rsidR="00BD0CEA" w:rsidRPr="00B91524">
              <w:rPr>
                <w:noProof/>
                <w:webHidden/>
              </w:rPr>
            </w:r>
            <w:r w:rsidR="00BD0CEA" w:rsidRPr="00B91524">
              <w:rPr>
                <w:noProof/>
                <w:webHidden/>
              </w:rPr>
              <w:fldChar w:fldCharType="separate"/>
            </w:r>
            <w:r>
              <w:rPr>
                <w:noProof/>
                <w:webHidden/>
              </w:rPr>
              <w:t>28</w:t>
            </w:r>
            <w:r w:rsidR="00BD0CEA" w:rsidRPr="00B91524">
              <w:rPr>
                <w:noProof/>
                <w:webHidden/>
              </w:rPr>
              <w:fldChar w:fldCharType="end"/>
            </w:r>
          </w:hyperlink>
        </w:p>
        <w:p w14:paraId="16D858B1" w14:textId="62C02B5C" w:rsidR="00BD0CEA" w:rsidRPr="00B91524" w:rsidRDefault="00683595">
          <w:pPr>
            <w:pStyle w:val="TOC1"/>
            <w:tabs>
              <w:tab w:val="left" w:pos="440"/>
              <w:tab w:val="right" w:leader="dot" w:pos="9746"/>
            </w:tabs>
            <w:rPr>
              <w:rFonts w:asciiTheme="minorHAnsi" w:eastAsiaTheme="minorEastAsia" w:hAnsiTheme="minorHAnsi" w:cstheme="minorBidi"/>
              <w:noProof/>
              <w:szCs w:val="22"/>
              <w:lang w:eastAsia="en-GB"/>
            </w:rPr>
          </w:pPr>
          <w:hyperlink w:anchor="_Toc74670344" w:history="1">
            <w:r w:rsidR="00BD0CEA" w:rsidRPr="00B91524">
              <w:rPr>
                <w:rStyle w:val="Hyperlink"/>
                <w:rFonts w:cs="Arial"/>
                <w:noProof/>
              </w:rPr>
              <w:t>5.</w:t>
            </w:r>
            <w:r w:rsidR="00BD0CEA" w:rsidRPr="00B91524">
              <w:rPr>
                <w:rFonts w:asciiTheme="minorHAnsi" w:eastAsiaTheme="minorEastAsia" w:hAnsiTheme="minorHAnsi" w:cstheme="minorBidi"/>
                <w:noProof/>
                <w:szCs w:val="22"/>
                <w:lang w:eastAsia="en-GB"/>
              </w:rPr>
              <w:tab/>
            </w:r>
            <w:r w:rsidR="00BD0CEA" w:rsidRPr="00B91524">
              <w:rPr>
                <w:rStyle w:val="Hyperlink"/>
                <w:noProof/>
              </w:rPr>
              <w:t>References</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_Toc74670344 \h </w:instrText>
            </w:r>
            <w:r w:rsidR="00BD0CEA" w:rsidRPr="00B91524">
              <w:rPr>
                <w:noProof/>
                <w:webHidden/>
              </w:rPr>
            </w:r>
            <w:r w:rsidR="00BD0CEA" w:rsidRPr="00B91524">
              <w:rPr>
                <w:noProof/>
                <w:webHidden/>
              </w:rPr>
              <w:fldChar w:fldCharType="separate"/>
            </w:r>
            <w:r>
              <w:rPr>
                <w:noProof/>
                <w:webHidden/>
              </w:rPr>
              <w:t>30</w:t>
            </w:r>
            <w:r w:rsidR="00BD0CEA" w:rsidRPr="00B91524">
              <w:rPr>
                <w:noProof/>
                <w:webHidden/>
              </w:rPr>
              <w:fldChar w:fldCharType="end"/>
            </w:r>
          </w:hyperlink>
        </w:p>
        <w:p w14:paraId="04CF421D" w14:textId="687C74A5" w:rsidR="00BD0CEA" w:rsidRPr="00B91524" w:rsidRDefault="00683595">
          <w:pPr>
            <w:pStyle w:val="TOC1"/>
            <w:tabs>
              <w:tab w:val="left" w:pos="1760"/>
              <w:tab w:val="right" w:leader="dot" w:pos="9746"/>
            </w:tabs>
            <w:rPr>
              <w:rFonts w:asciiTheme="minorHAnsi" w:eastAsiaTheme="minorEastAsia" w:hAnsiTheme="minorHAnsi" w:cstheme="minorBidi"/>
              <w:noProof/>
              <w:szCs w:val="22"/>
              <w:lang w:eastAsia="en-GB"/>
            </w:rPr>
          </w:pPr>
          <w:hyperlink w:anchor="_Toc74670345" w:history="1">
            <w:r w:rsidR="00BD0CEA" w:rsidRPr="00B91524">
              <w:rPr>
                <w:rStyle w:val="Hyperlink"/>
                <w:bCs/>
                <w:noProof/>
                <w14:scene3d>
                  <w14:camera w14:prst="orthographicFront"/>
                  <w14:lightRig w14:rig="threePt" w14:dir="t">
                    <w14:rot w14:lat="0" w14:lon="0" w14:rev="0"/>
                  </w14:lightRig>
                </w14:scene3d>
              </w:rPr>
              <w:t>APPENDIX A.</w:t>
            </w:r>
            <w:r w:rsidR="00BD0CEA" w:rsidRPr="00B91524">
              <w:rPr>
                <w:rFonts w:asciiTheme="minorHAnsi" w:eastAsiaTheme="minorEastAsia" w:hAnsiTheme="minorHAnsi" w:cstheme="minorBidi"/>
                <w:noProof/>
                <w:szCs w:val="22"/>
                <w:lang w:eastAsia="en-GB"/>
              </w:rPr>
              <w:tab/>
            </w:r>
            <w:r w:rsidR="00BD0CEA" w:rsidRPr="00B91524">
              <w:rPr>
                <w:rStyle w:val="Hyperlink"/>
                <w:noProof/>
              </w:rPr>
              <w:t>Benthic monitoring objectives for the Dogger Bank SAC set out by Natural England</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_Toc74670345 \h </w:instrText>
            </w:r>
            <w:r w:rsidR="00BD0CEA" w:rsidRPr="00B91524">
              <w:rPr>
                <w:noProof/>
                <w:webHidden/>
              </w:rPr>
            </w:r>
            <w:r w:rsidR="00BD0CEA" w:rsidRPr="00B91524">
              <w:rPr>
                <w:noProof/>
                <w:webHidden/>
              </w:rPr>
              <w:fldChar w:fldCharType="separate"/>
            </w:r>
            <w:r>
              <w:rPr>
                <w:noProof/>
                <w:webHidden/>
              </w:rPr>
              <w:t>32</w:t>
            </w:r>
            <w:r w:rsidR="00BD0CEA" w:rsidRPr="00B91524">
              <w:rPr>
                <w:noProof/>
                <w:webHidden/>
              </w:rPr>
              <w:fldChar w:fldCharType="end"/>
            </w:r>
          </w:hyperlink>
        </w:p>
        <w:p w14:paraId="1E2814C6" w14:textId="0490BEB1" w:rsidR="00BD0CEA" w:rsidRPr="00B91524" w:rsidRDefault="00683595">
          <w:pPr>
            <w:pStyle w:val="TOC1"/>
            <w:tabs>
              <w:tab w:val="left" w:pos="1760"/>
              <w:tab w:val="right" w:leader="dot" w:pos="9746"/>
            </w:tabs>
            <w:rPr>
              <w:rFonts w:asciiTheme="minorHAnsi" w:eastAsiaTheme="minorEastAsia" w:hAnsiTheme="minorHAnsi" w:cstheme="minorBidi"/>
              <w:noProof/>
              <w:szCs w:val="22"/>
              <w:lang w:eastAsia="en-GB"/>
            </w:rPr>
          </w:pPr>
          <w:hyperlink w:anchor="_Toc74670346" w:history="1">
            <w:r w:rsidR="00BD0CEA" w:rsidRPr="00B91524">
              <w:rPr>
                <w:rStyle w:val="Hyperlink"/>
                <w:bCs/>
                <w:noProof/>
                <w14:scene3d>
                  <w14:camera w14:prst="orthographicFront"/>
                  <w14:lightRig w14:rig="threePt" w14:dir="t">
                    <w14:rot w14:lat="0" w14:lon="0" w14:rev="0"/>
                  </w14:lightRig>
                </w14:scene3d>
              </w:rPr>
              <w:t>APPENDIX B.</w:t>
            </w:r>
            <w:r w:rsidR="00BD0CEA" w:rsidRPr="00B91524">
              <w:rPr>
                <w:rFonts w:asciiTheme="minorHAnsi" w:eastAsiaTheme="minorEastAsia" w:hAnsiTheme="minorHAnsi" w:cstheme="minorBidi"/>
                <w:noProof/>
                <w:szCs w:val="22"/>
                <w:lang w:eastAsia="en-GB"/>
              </w:rPr>
              <w:tab/>
            </w:r>
            <w:r w:rsidR="00BD0CEA" w:rsidRPr="00B91524">
              <w:rPr>
                <w:rStyle w:val="Hyperlink"/>
                <w:noProof/>
              </w:rPr>
              <w:t>EXISTING DATA USED IN THE DEVELOPMENT OF THE BMP.</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_Toc74670346 \h </w:instrText>
            </w:r>
            <w:r w:rsidR="00BD0CEA" w:rsidRPr="00B91524">
              <w:rPr>
                <w:noProof/>
                <w:webHidden/>
              </w:rPr>
            </w:r>
            <w:r w:rsidR="00BD0CEA" w:rsidRPr="00B91524">
              <w:rPr>
                <w:noProof/>
                <w:webHidden/>
              </w:rPr>
              <w:fldChar w:fldCharType="separate"/>
            </w:r>
            <w:r>
              <w:rPr>
                <w:noProof/>
                <w:webHidden/>
              </w:rPr>
              <w:t>36</w:t>
            </w:r>
            <w:r w:rsidR="00BD0CEA" w:rsidRPr="00B91524">
              <w:rPr>
                <w:noProof/>
                <w:webHidden/>
              </w:rPr>
              <w:fldChar w:fldCharType="end"/>
            </w:r>
          </w:hyperlink>
        </w:p>
        <w:p w14:paraId="02B1B94A" w14:textId="7D4D3829" w:rsidR="00BD0CEA" w:rsidRPr="00B91524" w:rsidRDefault="00683595">
          <w:pPr>
            <w:pStyle w:val="TOC1"/>
            <w:tabs>
              <w:tab w:val="left" w:pos="1760"/>
              <w:tab w:val="right" w:leader="dot" w:pos="9746"/>
            </w:tabs>
            <w:rPr>
              <w:rFonts w:asciiTheme="minorHAnsi" w:eastAsiaTheme="minorEastAsia" w:hAnsiTheme="minorHAnsi" w:cstheme="minorBidi"/>
              <w:noProof/>
              <w:szCs w:val="22"/>
              <w:lang w:eastAsia="en-GB"/>
            </w:rPr>
          </w:pPr>
          <w:hyperlink w:anchor="_Toc74670347" w:history="1">
            <w:r w:rsidR="00BD0CEA" w:rsidRPr="00B91524">
              <w:rPr>
                <w:rStyle w:val="Hyperlink"/>
                <w:bCs/>
                <w:noProof/>
                <w14:scene3d>
                  <w14:camera w14:prst="orthographicFront"/>
                  <w14:lightRig w14:rig="threePt" w14:dir="t">
                    <w14:rot w14:lat="0" w14:lon="0" w14:rev="0"/>
                  </w14:lightRig>
                </w14:scene3d>
              </w:rPr>
              <w:t>APPENDIX C.</w:t>
            </w:r>
            <w:r w:rsidR="00BD0CEA" w:rsidRPr="00B91524">
              <w:rPr>
                <w:rFonts w:asciiTheme="minorHAnsi" w:eastAsiaTheme="minorEastAsia" w:hAnsiTheme="minorHAnsi" w:cstheme="minorBidi"/>
                <w:noProof/>
                <w:szCs w:val="22"/>
                <w:lang w:eastAsia="en-GB"/>
              </w:rPr>
              <w:tab/>
            </w:r>
            <w:r w:rsidR="00BD0CEA" w:rsidRPr="00B91524">
              <w:rPr>
                <w:rStyle w:val="Hyperlink"/>
                <w:noProof/>
              </w:rPr>
              <w:t>Offshore In Principle Monitoring Plan and rationale of monitoring presented within this benthic Monitoring  plan</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_Toc74670347 \h </w:instrText>
            </w:r>
            <w:r w:rsidR="00BD0CEA" w:rsidRPr="00B91524">
              <w:rPr>
                <w:noProof/>
                <w:webHidden/>
              </w:rPr>
            </w:r>
            <w:r w:rsidR="00BD0CEA" w:rsidRPr="00B91524">
              <w:rPr>
                <w:noProof/>
                <w:webHidden/>
              </w:rPr>
              <w:fldChar w:fldCharType="separate"/>
            </w:r>
            <w:r>
              <w:rPr>
                <w:noProof/>
                <w:webHidden/>
              </w:rPr>
              <w:t>42</w:t>
            </w:r>
            <w:r w:rsidR="00BD0CEA" w:rsidRPr="00B91524">
              <w:rPr>
                <w:noProof/>
                <w:webHidden/>
              </w:rPr>
              <w:fldChar w:fldCharType="end"/>
            </w:r>
          </w:hyperlink>
        </w:p>
        <w:p w14:paraId="771DF8B0" w14:textId="76114784" w:rsidR="00BD0CEA" w:rsidRPr="00B91524" w:rsidRDefault="00683595">
          <w:pPr>
            <w:pStyle w:val="TOC1"/>
            <w:tabs>
              <w:tab w:val="left" w:pos="1760"/>
              <w:tab w:val="right" w:leader="dot" w:pos="9746"/>
            </w:tabs>
            <w:rPr>
              <w:rFonts w:asciiTheme="minorHAnsi" w:eastAsiaTheme="minorEastAsia" w:hAnsiTheme="minorHAnsi" w:cstheme="minorBidi"/>
              <w:noProof/>
              <w:szCs w:val="22"/>
              <w:lang w:eastAsia="en-GB"/>
            </w:rPr>
          </w:pPr>
          <w:hyperlink w:anchor="_Toc74670348" w:history="1">
            <w:r w:rsidR="00BD0CEA" w:rsidRPr="00B91524">
              <w:rPr>
                <w:rStyle w:val="Hyperlink"/>
                <w:bCs/>
                <w:noProof/>
                <w14:scene3d>
                  <w14:camera w14:prst="orthographicFront"/>
                  <w14:lightRig w14:rig="threePt" w14:dir="t">
                    <w14:rot w14:lat="0" w14:lon="0" w14:rev="0"/>
                  </w14:lightRig>
                </w14:scene3d>
              </w:rPr>
              <w:t>APPENDIX D.</w:t>
            </w:r>
            <w:r w:rsidR="00BD0CEA" w:rsidRPr="00B91524">
              <w:rPr>
                <w:rFonts w:asciiTheme="minorHAnsi" w:eastAsiaTheme="minorEastAsia" w:hAnsiTheme="minorHAnsi" w:cstheme="minorBidi"/>
                <w:noProof/>
                <w:szCs w:val="22"/>
                <w:lang w:eastAsia="en-GB"/>
              </w:rPr>
              <w:tab/>
            </w:r>
            <w:r w:rsidR="00BD0CEA" w:rsidRPr="00B91524">
              <w:rPr>
                <w:rStyle w:val="Hyperlink"/>
                <w:noProof/>
              </w:rPr>
              <w:t>EUNIS mapping</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_Toc74670348 \h </w:instrText>
            </w:r>
            <w:r w:rsidR="00BD0CEA" w:rsidRPr="00B91524">
              <w:rPr>
                <w:noProof/>
                <w:webHidden/>
              </w:rPr>
            </w:r>
            <w:r w:rsidR="00BD0CEA" w:rsidRPr="00B91524">
              <w:rPr>
                <w:noProof/>
                <w:webHidden/>
              </w:rPr>
              <w:fldChar w:fldCharType="separate"/>
            </w:r>
            <w:r>
              <w:rPr>
                <w:noProof/>
                <w:webHidden/>
              </w:rPr>
              <w:t>45</w:t>
            </w:r>
            <w:r w:rsidR="00BD0CEA" w:rsidRPr="00B91524">
              <w:rPr>
                <w:noProof/>
                <w:webHidden/>
              </w:rPr>
              <w:fldChar w:fldCharType="end"/>
            </w:r>
          </w:hyperlink>
        </w:p>
        <w:p w14:paraId="53DA699B" w14:textId="40BE61D4" w:rsidR="00BD0CEA" w:rsidRPr="00B91524" w:rsidRDefault="00683595">
          <w:pPr>
            <w:pStyle w:val="TOC1"/>
            <w:tabs>
              <w:tab w:val="left" w:pos="1760"/>
              <w:tab w:val="right" w:leader="dot" w:pos="9746"/>
            </w:tabs>
            <w:rPr>
              <w:rFonts w:asciiTheme="minorHAnsi" w:eastAsiaTheme="minorEastAsia" w:hAnsiTheme="minorHAnsi" w:cstheme="minorBidi"/>
              <w:noProof/>
              <w:szCs w:val="22"/>
              <w:lang w:eastAsia="en-GB"/>
            </w:rPr>
          </w:pPr>
          <w:hyperlink w:anchor="_Toc74670349" w:history="1">
            <w:r w:rsidR="00BD0CEA" w:rsidRPr="00B91524">
              <w:rPr>
                <w:rStyle w:val="Hyperlink"/>
                <w:bCs/>
                <w:noProof/>
                <w14:scene3d>
                  <w14:camera w14:prst="orthographicFront"/>
                  <w14:lightRig w14:rig="threePt" w14:dir="t">
                    <w14:rot w14:lat="0" w14:lon="0" w14:rev="0"/>
                  </w14:lightRig>
                </w14:scene3d>
              </w:rPr>
              <w:t>APPENDIX E.</w:t>
            </w:r>
            <w:r w:rsidR="00BD0CEA" w:rsidRPr="00B91524">
              <w:rPr>
                <w:rFonts w:asciiTheme="minorHAnsi" w:eastAsiaTheme="minorEastAsia" w:hAnsiTheme="minorHAnsi" w:cstheme="minorBidi"/>
                <w:noProof/>
                <w:szCs w:val="22"/>
                <w:lang w:eastAsia="en-GB"/>
              </w:rPr>
              <w:tab/>
            </w:r>
            <w:r w:rsidR="00BD0CEA" w:rsidRPr="00B91524">
              <w:rPr>
                <w:rStyle w:val="Hyperlink"/>
                <w:noProof/>
              </w:rPr>
              <w:t>Valued Ecological Receptor (VER) categories</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_Toc74670349 \h </w:instrText>
            </w:r>
            <w:r w:rsidR="00BD0CEA" w:rsidRPr="00B91524">
              <w:rPr>
                <w:noProof/>
                <w:webHidden/>
              </w:rPr>
            </w:r>
            <w:r w:rsidR="00BD0CEA" w:rsidRPr="00B91524">
              <w:rPr>
                <w:noProof/>
                <w:webHidden/>
              </w:rPr>
              <w:fldChar w:fldCharType="separate"/>
            </w:r>
            <w:r>
              <w:rPr>
                <w:noProof/>
                <w:webHidden/>
              </w:rPr>
              <w:t>46</w:t>
            </w:r>
            <w:r w:rsidR="00BD0CEA" w:rsidRPr="00B91524">
              <w:rPr>
                <w:noProof/>
                <w:webHidden/>
              </w:rPr>
              <w:fldChar w:fldCharType="end"/>
            </w:r>
          </w:hyperlink>
        </w:p>
        <w:p w14:paraId="7D123ED7" w14:textId="5C3BCEBD" w:rsidR="00BD0CEA" w:rsidRPr="00B91524" w:rsidRDefault="00683595">
          <w:pPr>
            <w:pStyle w:val="TOC1"/>
            <w:tabs>
              <w:tab w:val="left" w:pos="1760"/>
              <w:tab w:val="right" w:leader="dot" w:pos="9746"/>
            </w:tabs>
            <w:rPr>
              <w:rFonts w:asciiTheme="minorHAnsi" w:eastAsiaTheme="minorEastAsia" w:hAnsiTheme="minorHAnsi" w:cstheme="minorBidi"/>
              <w:noProof/>
              <w:szCs w:val="22"/>
              <w:lang w:eastAsia="en-GB"/>
            </w:rPr>
          </w:pPr>
          <w:hyperlink w:anchor="_Toc74670350" w:history="1">
            <w:r w:rsidR="00BD0CEA" w:rsidRPr="00B91524">
              <w:rPr>
                <w:rStyle w:val="Hyperlink"/>
                <w:bCs/>
                <w:noProof/>
                <w14:scene3d>
                  <w14:camera w14:prst="orthographicFront"/>
                  <w14:lightRig w14:rig="threePt" w14:dir="t">
                    <w14:rot w14:lat="0" w14:lon="0" w14:rev="0"/>
                  </w14:lightRig>
                </w14:scene3d>
              </w:rPr>
              <w:t>APPENDIX F.</w:t>
            </w:r>
            <w:r w:rsidR="00BD0CEA" w:rsidRPr="00B91524">
              <w:rPr>
                <w:rFonts w:asciiTheme="minorHAnsi" w:eastAsiaTheme="minorEastAsia" w:hAnsiTheme="minorHAnsi" w:cstheme="minorBidi"/>
                <w:noProof/>
                <w:szCs w:val="22"/>
                <w:lang w:eastAsia="en-GB"/>
              </w:rPr>
              <w:tab/>
            </w:r>
            <w:r w:rsidR="00BD0CEA" w:rsidRPr="00B91524">
              <w:rPr>
                <w:rStyle w:val="Hyperlink"/>
                <w:noProof/>
              </w:rPr>
              <w:t>Valued Ecological Receptor (VER) protection status and conservation interest and their importance/value within the study area.</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_Toc74670350 \h </w:instrText>
            </w:r>
            <w:r w:rsidR="00BD0CEA" w:rsidRPr="00B91524">
              <w:rPr>
                <w:noProof/>
                <w:webHidden/>
              </w:rPr>
            </w:r>
            <w:r w:rsidR="00BD0CEA" w:rsidRPr="00B91524">
              <w:rPr>
                <w:noProof/>
                <w:webHidden/>
              </w:rPr>
              <w:fldChar w:fldCharType="separate"/>
            </w:r>
            <w:r>
              <w:rPr>
                <w:noProof/>
                <w:webHidden/>
              </w:rPr>
              <w:t>47</w:t>
            </w:r>
            <w:r w:rsidR="00BD0CEA" w:rsidRPr="00B91524">
              <w:rPr>
                <w:noProof/>
                <w:webHidden/>
              </w:rPr>
              <w:fldChar w:fldCharType="end"/>
            </w:r>
          </w:hyperlink>
        </w:p>
        <w:p w14:paraId="4001AEA6" w14:textId="5A29145A" w:rsidR="00BD0CEA" w:rsidRPr="00B91524" w:rsidRDefault="00683595">
          <w:pPr>
            <w:pStyle w:val="TOC1"/>
            <w:tabs>
              <w:tab w:val="left" w:pos="1760"/>
              <w:tab w:val="right" w:leader="dot" w:pos="9746"/>
            </w:tabs>
            <w:rPr>
              <w:rFonts w:asciiTheme="minorHAnsi" w:eastAsiaTheme="minorEastAsia" w:hAnsiTheme="minorHAnsi" w:cstheme="minorBidi"/>
              <w:noProof/>
              <w:szCs w:val="22"/>
              <w:lang w:eastAsia="en-GB"/>
            </w:rPr>
          </w:pPr>
          <w:hyperlink w:anchor="_Toc74670351" w:history="1">
            <w:r w:rsidR="00BD0CEA" w:rsidRPr="00B91524">
              <w:rPr>
                <w:rStyle w:val="Hyperlink"/>
                <w:bCs/>
                <w:noProof/>
                <w14:scene3d>
                  <w14:camera w14:prst="orthographicFront"/>
                  <w14:lightRig w14:rig="threePt" w14:dir="t">
                    <w14:rot w14:lat="0" w14:lon="0" w14:rev="0"/>
                  </w14:lightRig>
                </w14:scene3d>
              </w:rPr>
              <w:t>APPENDIX G.</w:t>
            </w:r>
            <w:r w:rsidR="00BD0CEA" w:rsidRPr="00B91524">
              <w:rPr>
                <w:rFonts w:asciiTheme="minorHAnsi" w:eastAsiaTheme="minorEastAsia" w:hAnsiTheme="minorHAnsi" w:cstheme="minorBidi"/>
                <w:noProof/>
                <w:szCs w:val="22"/>
                <w:lang w:eastAsia="en-GB"/>
              </w:rPr>
              <w:tab/>
            </w:r>
            <w:r w:rsidR="00BD0CEA" w:rsidRPr="00B91524">
              <w:rPr>
                <w:rStyle w:val="Hyperlink"/>
                <w:noProof/>
              </w:rPr>
              <w:t>Summary of predicted effects of SOWF on benthic habitats.</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_Toc74670351 \h </w:instrText>
            </w:r>
            <w:r w:rsidR="00BD0CEA" w:rsidRPr="00B91524">
              <w:rPr>
                <w:noProof/>
                <w:webHidden/>
              </w:rPr>
            </w:r>
            <w:r w:rsidR="00BD0CEA" w:rsidRPr="00B91524">
              <w:rPr>
                <w:noProof/>
                <w:webHidden/>
              </w:rPr>
              <w:fldChar w:fldCharType="separate"/>
            </w:r>
            <w:r>
              <w:rPr>
                <w:noProof/>
                <w:webHidden/>
              </w:rPr>
              <w:t>49</w:t>
            </w:r>
            <w:r w:rsidR="00BD0CEA" w:rsidRPr="00B91524">
              <w:rPr>
                <w:noProof/>
                <w:webHidden/>
              </w:rPr>
              <w:fldChar w:fldCharType="end"/>
            </w:r>
          </w:hyperlink>
        </w:p>
        <w:p w14:paraId="1B95E98D" w14:textId="67614118" w:rsidR="00BD0CEA" w:rsidRPr="00B91524" w:rsidRDefault="00683595">
          <w:pPr>
            <w:pStyle w:val="TOC1"/>
            <w:tabs>
              <w:tab w:val="left" w:pos="1760"/>
              <w:tab w:val="right" w:leader="dot" w:pos="9746"/>
            </w:tabs>
            <w:rPr>
              <w:rFonts w:asciiTheme="minorHAnsi" w:eastAsiaTheme="minorEastAsia" w:hAnsiTheme="minorHAnsi" w:cstheme="minorBidi"/>
              <w:noProof/>
              <w:szCs w:val="22"/>
              <w:lang w:eastAsia="en-GB"/>
            </w:rPr>
          </w:pPr>
          <w:hyperlink w:anchor="_Toc74670352" w:history="1">
            <w:r w:rsidR="00BD0CEA" w:rsidRPr="00B91524">
              <w:rPr>
                <w:rStyle w:val="Hyperlink"/>
                <w:bCs/>
                <w:noProof/>
                <w14:scene3d>
                  <w14:camera w14:prst="orthographicFront"/>
                  <w14:lightRig w14:rig="threePt" w14:dir="t">
                    <w14:rot w14:lat="0" w14:lon="0" w14:rev="0"/>
                  </w14:lightRig>
                </w14:scene3d>
              </w:rPr>
              <w:t>APPENDIX H.</w:t>
            </w:r>
            <w:r w:rsidR="00BD0CEA" w:rsidRPr="00B91524">
              <w:rPr>
                <w:rFonts w:asciiTheme="minorHAnsi" w:eastAsiaTheme="minorEastAsia" w:hAnsiTheme="minorHAnsi" w:cstheme="minorBidi"/>
                <w:noProof/>
                <w:szCs w:val="22"/>
                <w:lang w:eastAsia="en-GB"/>
              </w:rPr>
              <w:tab/>
            </w:r>
            <w:r w:rsidR="00BD0CEA" w:rsidRPr="00B91524">
              <w:rPr>
                <w:rStyle w:val="Hyperlink"/>
                <w:noProof/>
              </w:rPr>
              <w:t>Associated documents</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_Toc74670352 \h </w:instrText>
            </w:r>
            <w:r w:rsidR="00BD0CEA" w:rsidRPr="00B91524">
              <w:rPr>
                <w:noProof/>
                <w:webHidden/>
              </w:rPr>
            </w:r>
            <w:r w:rsidR="00BD0CEA" w:rsidRPr="00B91524">
              <w:rPr>
                <w:noProof/>
                <w:webHidden/>
              </w:rPr>
              <w:fldChar w:fldCharType="separate"/>
            </w:r>
            <w:r>
              <w:rPr>
                <w:noProof/>
                <w:webHidden/>
              </w:rPr>
              <w:t>51</w:t>
            </w:r>
            <w:r w:rsidR="00BD0CEA" w:rsidRPr="00B91524">
              <w:rPr>
                <w:noProof/>
                <w:webHidden/>
              </w:rPr>
              <w:fldChar w:fldCharType="end"/>
            </w:r>
          </w:hyperlink>
        </w:p>
        <w:p w14:paraId="612D987E" w14:textId="5AAB183D" w:rsidR="00BD0CEA" w:rsidRPr="00B91524" w:rsidRDefault="00683595">
          <w:pPr>
            <w:pStyle w:val="TOC1"/>
            <w:tabs>
              <w:tab w:val="left" w:pos="1540"/>
              <w:tab w:val="right" w:leader="dot" w:pos="9746"/>
            </w:tabs>
            <w:rPr>
              <w:rFonts w:asciiTheme="minorHAnsi" w:eastAsiaTheme="minorEastAsia" w:hAnsiTheme="minorHAnsi" w:cstheme="minorBidi"/>
              <w:noProof/>
              <w:szCs w:val="22"/>
              <w:lang w:eastAsia="en-GB"/>
            </w:rPr>
          </w:pPr>
          <w:hyperlink w:anchor="_Toc74670353" w:history="1">
            <w:r w:rsidR="00BD0CEA" w:rsidRPr="00B91524">
              <w:rPr>
                <w:rStyle w:val="Hyperlink"/>
                <w:bCs/>
                <w:noProof/>
                <w:lang w:eastAsia="en-GB"/>
                <w14:scene3d>
                  <w14:camera w14:prst="orthographicFront"/>
                  <w14:lightRig w14:rig="threePt" w14:dir="t">
                    <w14:rot w14:lat="0" w14:lon="0" w14:rev="0"/>
                  </w14:lightRig>
                </w14:scene3d>
              </w:rPr>
              <w:t>APPENDIX I.</w:t>
            </w:r>
            <w:r w:rsidR="00BD0CEA" w:rsidRPr="00B91524">
              <w:rPr>
                <w:rFonts w:asciiTheme="minorHAnsi" w:eastAsiaTheme="minorEastAsia" w:hAnsiTheme="minorHAnsi" w:cstheme="minorBidi"/>
                <w:noProof/>
                <w:szCs w:val="22"/>
                <w:lang w:eastAsia="en-GB"/>
              </w:rPr>
              <w:tab/>
            </w:r>
            <w:r w:rsidR="00BD0CEA" w:rsidRPr="00B91524">
              <w:rPr>
                <w:rStyle w:val="Hyperlink"/>
                <w:noProof/>
                <w:lang w:eastAsia="en-GB"/>
              </w:rPr>
              <w:t>final sampling design – nearshore (out to Kilometre Point 10)</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_Toc74670353 \h </w:instrText>
            </w:r>
            <w:r w:rsidR="00BD0CEA" w:rsidRPr="00B91524">
              <w:rPr>
                <w:noProof/>
                <w:webHidden/>
              </w:rPr>
            </w:r>
            <w:r w:rsidR="00BD0CEA" w:rsidRPr="00B91524">
              <w:rPr>
                <w:noProof/>
                <w:webHidden/>
              </w:rPr>
              <w:fldChar w:fldCharType="separate"/>
            </w:r>
            <w:r>
              <w:rPr>
                <w:noProof/>
                <w:webHidden/>
              </w:rPr>
              <w:t>52</w:t>
            </w:r>
            <w:r w:rsidR="00BD0CEA" w:rsidRPr="00B91524">
              <w:rPr>
                <w:noProof/>
                <w:webHidden/>
              </w:rPr>
              <w:fldChar w:fldCharType="end"/>
            </w:r>
          </w:hyperlink>
        </w:p>
        <w:p w14:paraId="2D40048C" w14:textId="1F392AC3" w:rsidR="00BD0CEA" w:rsidRPr="00B91524" w:rsidRDefault="00683595">
          <w:pPr>
            <w:pStyle w:val="TOC1"/>
            <w:tabs>
              <w:tab w:val="left" w:pos="1760"/>
              <w:tab w:val="right" w:leader="dot" w:pos="9746"/>
            </w:tabs>
            <w:rPr>
              <w:rFonts w:asciiTheme="minorHAnsi" w:eastAsiaTheme="minorEastAsia" w:hAnsiTheme="minorHAnsi" w:cstheme="minorBidi"/>
              <w:noProof/>
              <w:szCs w:val="22"/>
              <w:lang w:eastAsia="en-GB"/>
            </w:rPr>
          </w:pPr>
          <w:hyperlink w:anchor="_Toc74670354" w:history="1">
            <w:r w:rsidR="00BD0CEA" w:rsidRPr="00B91524">
              <w:rPr>
                <w:rStyle w:val="Hyperlink"/>
                <w:bCs/>
                <w:noProof/>
                <w:lang w:eastAsia="en-GB"/>
                <w14:scene3d>
                  <w14:camera w14:prst="orthographicFront"/>
                  <w14:lightRig w14:rig="threePt" w14:dir="t">
                    <w14:rot w14:lat="0" w14:lon="0" w14:rev="0"/>
                  </w14:lightRig>
                </w14:scene3d>
              </w:rPr>
              <w:t>APPENDIX J.</w:t>
            </w:r>
            <w:r w:rsidR="00BD0CEA" w:rsidRPr="00B91524">
              <w:rPr>
                <w:rFonts w:asciiTheme="minorHAnsi" w:eastAsiaTheme="minorEastAsia" w:hAnsiTheme="minorHAnsi" w:cstheme="minorBidi"/>
                <w:noProof/>
                <w:szCs w:val="22"/>
                <w:lang w:eastAsia="en-GB"/>
              </w:rPr>
              <w:tab/>
            </w:r>
            <w:r w:rsidR="00BD0CEA" w:rsidRPr="00B91524">
              <w:rPr>
                <w:rStyle w:val="Hyperlink"/>
                <w:noProof/>
                <w:lang w:eastAsia="en-GB"/>
              </w:rPr>
              <w:t>final sampling design – O</w:t>
            </w:r>
            <w:r w:rsidR="00843131" w:rsidRPr="00B91524">
              <w:rPr>
                <w:rStyle w:val="Hyperlink"/>
                <w:noProof/>
                <w:lang w:eastAsia="en-GB"/>
              </w:rPr>
              <w:t>ffshore</w:t>
            </w:r>
            <w:r w:rsidR="00BD0CEA" w:rsidRPr="00B91524">
              <w:rPr>
                <w:rStyle w:val="Hyperlink"/>
                <w:noProof/>
                <w:lang w:eastAsia="en-GB"/>
              </w:rPr>
              <w:t xml:space="preserve"> (</w:t>
            </w:r>
            <w:r w:rsidR="00843131" w:rsidRPr="00B91524">
              <w:rPr>
                <w:rStyle w:val="Hyperlink"/>
                <w:noProof/>
                <w:lang w:eastAsia="en-GB"/>
              </w:rPr>
              <w:t>beyond</w:t>
            </w:r>
            <w:r w:rsidR="00BD0CEA" w:rsidRPr="00B91524">
              <w:rPr>
                <w:rStyle w:val="Hyperlink"/>
                <w:noProof/>
                <w:lang w:eastAsia="en-GB"/>
              </w:rPr>
              <w:t xml:space="preserve"> Kilometre Point 10)</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_Toc74670354 \h </w:instrText>
            </w:r>
            <w:r w:rsidR="00BD0CEA" w:rsidRPr="00B91524">
              <w:rPr>
                <w:noProof/>
                <w:webHidden/>
              </w:rPr>
            </w:r>
            <w:r w:rsidR="00BD0CEA" w:rsidRPr="00B91524">
              <w:rPr>
                <w:noProof/>
                <w:webHidden/>
              </w:rPr>
              <w:fldChar w:fldCharType="separate"/>
            </w:r>
            <w:r>
              <w:rPr>
                <w:noProof/>
                <w:webHidden/>
              </w:rPr>
              <w:t>56</w:t>
            </w:r>
            <w:r w:rsidR="00BD0CEA" w:rsidRPr="00B91524">
              <w:rPr>
                <w:noProof/>
                <w:webHidden/>
              </w:rPr>
              <w:fldChar w:fldCharType="end"/>
            </w:r>
          </w:hyperlink>
        </w:p>
        <w:p w14:paraId="0BFB427C" w14:textId="3FB5B14E" w:rsidR="00BD0CEA" w:rsidRPr="00B91524" w:rsidRDefault="00683595">
          <w:pPr>
            <w:pStyle w:val="TOC1"/>
            <w:tabs>
              <w:tab w:val="left" w:pos="1760"/>
              <w:tab w:val="right" w:leader="dot" w:pos="9746"/>
            </w:tabs>
            <w:rPr>
              <w:rFonts w:asciiTheme="minorHAnsi" w:eastAsiaTheme="minorEastAsia" w:hAnsiTheme="minorHAnsi" w:cstheme="minorBidi"/>
              <w:noProof/>
              <w:szCs w:val="22"/>
              <w:lang w:eastAsia="en-GB"/>
            </w:rPr>
          </w:pPr>
          <w:hyperlink w:anchor="_Toc74670355" w:history="1">
            <w:r w:rsidR="00BD0CEA" w:rsidRPr="00B91524">
              <w:rPr>
                <w:rStyle w:val="Hyperlink"/>
                <w:bCs/>
                <w:noProof/>
                <w:lang w:eastAsia="en-GB"/>
                <w14:scene3d>
                  <w14:camera w14:prst="orthographicFront"/>
                  <w14:lightRig w14:rig="threePt" w14:dir="t">
                    <w14:rot w14:lat="0" w14:lon="0" w14:rev="0"/>
                  </w14:lightRig>
                </w14:scene3d>
              </w:rPr>
              <w:t>APPENDIX K.</w:t>
            </w:r>
            <w:r w:rsidR="00BD0CEA" w:rsidRPr="00B91524">
              <w:rPr>
                <w:rFonts w:asciiTheme="minorHAnsi" w:eastAsiaTheme="minorEastAsia" w:hAnsiTheme="minorHAnsi" w:cstheme="minorBidi"/>
                <w:noProof/>
                <w:szCs w:val="22"/>
                <w:lang w:eastAsia="en-GB"/>
              </w:rPr>
              <w:tab/>
            </w:r>
            <w:r w:rsidR="00BD0CEA" w:rsidRPr="00B91524">
              <w:rPr>
                <w:rStyle w:val="Hyperlink"/>
                <w:noProof/>
              </w:rPr>
              <w:t>Senckenberg</w:t>
            </w:r>
            <w:r w:rsidR="00BD0CEA" w:rsidRPr="00B91524">
              <w:rPr>
                <w:rStyle w:val="Hyperlink"/>
                <w:noProof/>
                <w:lang w:eastAsia="en-GB"/>
              </w:rPr>
              <w:t xml:space="preserve"> Research Institute (SRI) long-term and REWIND sampling design</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_Toc74670355 \h </w:instrText>
            </w:r>
            <w:r w:rsidR="00BD0CEA" w:rsidRPr="00B91524">
              <w:rPr>
                <w:noProof/>
                <w:webHidden/>
              </w:rPr>
            </w:r>
            <w:r w:rsidR="00BD0CEA" w:rsidRPr="00B91524">
              <w:rPr>
                <w:noProof/>
                <w:webHidden/>
              </w:rPr>
              <w:fldChar w:fldCharType="separate"/>
            </w:r>
            <w:r>
              <w:rPr>
                <w:noProof/>
                <w:webHidden/>
              </w:rPr>
              <w:t>58</w:t>
            </w:r>
            <w:r w:rsidR="00BD0CEA" w:rsidRPr="00B91524">
              <w:rPr>
                <w:noProof/>
                <w:webHidden/>
              </w:rPr>
              <w:fldChar w:fldCharType="end"/>
            </w:r>
          </w:hyperlink>
        </w:p>
        <w:p w14:paraId="4132376F" w14:textId="50A92131" w:rsidR="00BD0CEA" w:rsidRPr="00B91524" w:rsidRDefault="00683595">
          <w:pPr>
            <w:pStyle w:val="TOC1"/>
            <w:tabs>
              <w:tab w:val="left" w:pos="1760"/>
              <w:tab w:val="right" w:leader="dot" w:pos="9746"/>
            </w:tabs>
            <w:rPr>
              <w:rFonts w:asciiTheme="minorHAnsi" w:eastAsiaTheme="minorEastAsia" w:hAnsiTheme="minorHAnsi" w:cstheme="minorBidi"/>
              <w:noProof/>
              <w:szCs w:val="22"/>
              <w:lang w:eastAsia="en-GB"/>
            </w:rPr>
          </w:pPr>
          <w:hyperlink w:anchor="_Toc74670356" w:history="1">
            <w:r w:rsidR="00BD0CEA" w:rsidRPr="00B91524">
              <w:rPr>
                <w:rStyle w:val="Hyperlink"/>
                <w:bCs/>
                <w:noProof/>
                <w:lang w:eastAsia="en-GB"/>
                <w14:scene3d>
                  <w14:camera w14:prst="orthographicFront"/>
                  <w14:lightRig w14:rig="threePt" w14:dir="t">
                    <w14:rot w14:lat="0" w14:lon="0" w14:rev="0"/>
                  </w14:lightRig>
                </w14:scene3d>
              </w:rPr>
              <w:t>APPENDIX L.</w:t>
            </w:r>
            <w:r w:rsidR="00BD0CEA" w:rsidRPr="00B91524">
              <w:rPr>
                <w:rFonts w:asciiTheme="minorHAnsi" w:eastAsiaTheme="minorEastAsia" w:hAnsiTheme="minorHAnsi" w:cstheme="minorBidi"/>
                <w:noProof/>
                <w:szCs w:val="22"/>
                <w:lang w:eastAsia="en-GB"/>
              </w:rPr>
              <w:tab/>
            </w:r>
            <w:r w:rsidR="00BD0CEA" w:rsidRPr="00B91524">
              <w:rPr>
                <w:rStyle w:val="Hyperlink"/>
                <w:noProof/>
              </w:rPr>
              <w:t>Predictive</w:t>
            </w:r>
            <w:r w:rsidR="00BD0CEA" w:rsidRPr="00B91524">
              <w:rPr>
                <w:rStyle w:val="Hyperlink"/>
                <w:noProof/>
                <w:lang w:eastAsia="en-GB"/>
              </w:rPr>
              <w:t xml:space="preserve"> H</w:t>
            </w:r>
            <w:r w:rsidR="00843131" w:rsidRPr="00B91524">
              <w:rPr>
                <w:rStyle w:val="Hyperlink"/>
                <w:noProof/>
                <w:lang w:eastAsia="en-GB"/>
              </w:rPr>
              <w:t>abitat</w:t>
            </w:r>
            <w:r w:rsidR="00BD0CEA" w:rsidRPr="00B91524">
              <w:rPr>
                <w:rStyle w:val="Hyperlink"/>
                <w:noProof/>
                <w:lang w:eastAsia="en-GB"/>
              </w:rPr>
              <w:t xml:space="preserve"> modelling report</w:t>
            </w:r>
            <w:r w:rsidR="00BD0CEA" w:rsidRPr="00B91524">
              <w:rPr>
                <w:noProof/>
                <w:webHidden/>
              </w:rPr>
              <w:tab/>
            </w:r>
            <w:r w:rsidR="00BD0CEA" w:rsidRPr="00B91524">
              <w:rPr>
                <w:noProof/>
                <w:webHidden/>
              </w:rPr>
              <w:fldChar w:fldCharType="begin"/>
            </w:r>
            <w:r w:rsidR="00BD0CEA" w:rsidRPr="00B91524">
              <w:rPr>
                <w:noProof/>
                <w:webHidden/>
              </w:rPr>
              <w:instrText xml:space="preserve"> PAGEREF _Toc74670356 \h </w:instrText>
            </w:r>
            <w:r w:rsidR="00BD0CEA" w:rsidRPr="00B91524">
              <w:rPr>
                <w:noProof/>
                <w:webHidden/>
              </w:rPr>
            </w:r>
            <w:r w:rsidR="00BD0CEA" w:rsidRPr="00B91524">
              <w:rPr>
                <w:noProof/>
                <w:webHidden/>
              </w:rPr>
              <w:fldChar w:fldCharType="separate"/>
            </w:r>
            <w:r>
              <w:rPr>
                <w:noProof/>
                <w:webHidden/>
              </w:rPr>
              <w:t>62</w:t>
            </w:r>
            <w:r w:rsidR="00BD0CEA" w:rsidRPr="00B91524">
              <w:rPr>
                <w:noProof/>
                <w:webHidden/>
              </w:rPr>
              <w:fldChar w:fldCharType="end"/>
            </w:r>
          </w:hyperlink>
        </w:p>
        <w:p w14:paraId="671807DE" w14:textId="2BEFAD82" w:rsidR="00251863" w:rsidRPr="00B91524" w:rsidRDefault="00251863">
          <w:r w:rsidRPr="00B91524">
            <w:rPr>
              <w:b/>
              <w:bCs/>
              <w:noProof/>
              <w:szCs w:val="22"/>
            </w:rPr>
            <w:fldChar w:fldCharType="end"/>
          </w:r>
        </w:p>
      </w:sdtContent>
    </w:sdt>
    <w:p w14:paraId="3E1A5287" w14:textId="77777777" w:rsidR="00242AD0" w:rsidRPr="00B91524" w:rsidRDefault="00B86127" w:rsidP="00242AD0">
      <w:pPr>
        <w:spacing w:after="480"/>
        <w:rPr>
          <w:rFonts w:cs="Arial"/>
          <w:b/>
          <w:color w:val="1D4477" w:themeColor="accent1"/>
          <w:sz w:val="28"/>
        </w:rPr>
      </w:pPr>
      <w:r w:rsidRPr="00B91524">
        <w:rPr>
          <w:rFonts w:cs="Arial"/>
          <w:b/>
          <w:color w:val="1D4477" w:themeColor="accent1"/>
          <w:sz w:val="28"/>
        </w:rPr>
        <w:t>Table</w:t>
      </w:r>
      <w:r w:rsidR="00242AD0" w:rsidRPr="00B91524">
        <w:rPr>
          <w:rFonts w:cs="Arial"/>
          <w:b/>
          <w:color w:val="1D4477" w:themeColor="accent1"/>
          <w:sz w:val="28"/>
        </w:rPr>
        <w:t>s</w:t>
      </w:r>
    </w:p>
    <w:p w14:paraId="26EEA94A" w14:textId="679CD1C7" w:rsidR="00523A78" w:rsidRPr="00B91524" w:rsidRDefault="001619C5">
      <w:pPr>
        <w:pStyle w:val="TableofFigures"/>
        <w:tabs>
          <w:tab w:val="right" w:leader="dot" w:pos="9746"/>
        </w:tabs>
        <w:rPr>
          <w:rFonts w:asciiTheme="minorHAnsi" w:eastAsiaTheme="minorEastAsia" w:hAnsiTheme="minorHAnsi" w:cstheme="minorBidi"/>
          <w:noProof/>
          <w:szCs w:val="22"/>
          <w:lang w:eastAsia="en-GB"/>
        </w:rPr>
      </w:pPr>
      <w:r w:rsidRPr="00B91524">
        <w:rPr>
          <w:rFonts w:cs="Arial"/>
          <w:b/>
          <w:szCs w:val="22"/>
        </w:rPr>
        <w:fldChar w:fldCharType="begin"/>
      </w:r>
      <w:r w:rsidRPr="00B91524">
        <w:rPr>
          <w:rFonts w:cs="Arial"/>
          <w:b/>
          <w:szCs w:val="22"/>
        </w:rPr>
        <w:instrText xml:space="preserve"> TOC \h \z \c "Table" </w:instrText>
      </w:r>
      <w:r w:rsidRPr="00B91524">
        <w:rPr>
          <w:rFonts w:cs="Arial"/>
          <w:b/>
          <w:szCs w:val="22"/>
        </w:rPr>
        <w:fldChar w:fldCharType="separate"/>
      </w:r>
      <w:hyperlink w:anchor="_Toc61597200" w:history="1">
        <w:r w:rsidR="00523A78" w:rsidRPr="00B91524">
          <w:rPr>
            <w:rStyle w:val="Hyperlink"/>
            <w:noProof/>
          </w:rPr>
          <w:t>Table 1</w:t>
        </w:r>
        <w:r w:rsidR="00523A78" w:rsidRPr="00B91524">
          <w:rPr>
            <w:rStyle w:val="Hyperlink"/>
            <w:noProof/>
          </w:rPr>
          <w:noBreakHyphen/>
          <w:t>1 dML Conditions (as varied in April 2019) discharged in Full or Part, through the provision of the Benthic Monitoring Plan.</w:t>
        </w:r>
        <w:r w:rsidR="00523A78" w:rsidRPr="00B91524">
          <w:rPr>
            <w:noProof/>
            <w:webHidden/>
          </w:rPr>
          <w:tab/>
        </w:r>
        <w:r w:rsidR="00523A78" w:rsidRPr="00B91524">
          <w:rPr>
            <w:noProof/>
            <w:webHidden/>
          </w:rPr>
          <w:fldChar w:fldCharType="begin"/>
        </w:r>
        <w:r w:rsidR="00523A78" w:rsidRPr="00B91524">
          <w:rPr>
            <w:noProof/>
            <w:webHidden/>
          </w:rPr>
          <w:instrText xml:space="preserve"> PAGEREF _Toc61597200 \h </w:instrText>
        </w:r>
        <w:r w:rsidR="00523A78" w:rsidRPr="00B91524">
          <w:rPr>
            <w:noProof/>
            <w:webHidden/>
          </w:rPr>
        </w:r>
        <w:r w:rsidR="00523A78" w:rsidRPr="00B91524">
          <w:rPr>
            <w:noProof/>
            <w:webHidden/>
          </w:rPr>
          <w:fldChar w:fldCharType="separate"/>
        </w:r>
        <w:r w:rsidR="00683595">
          <w:rPr>
            <w:noProof/>
            <w:webHidden/>
          </w:rPr>
          <w:t>7</w:t>
        </w:r>
        <w:r w:rsidR="00523A78" w:rsidRPr="00B91524">
          <w:rPr>
            <w:noProof/>
            <w:webHidden/>
          </w:rPr>
          <w:fldChar w:fldCharType="end"/>
        </w:r>
      </w:hyperlink>
    </w:p>
    <w:p w14:paraId="2CE1379A" w14:textId="61EB97F7" w:rsidR="00523A78" w:rsidRPr="00B91524" w:rsidRDefault="00683595">
      <w:pPr>
        <w:pStyle w:val="TableofFigures"/>
        <w:tabs>
          <w:tab w:val="right" w:leader="dot" w:pos="9746"/>
        </w:tabs>
        <w:rPr>
          <w:rFonts w:asciiTheme="minorHAnsi" w:eastAsiaTheme="minorEastAsia" w:hAnsiTheme="minorHAnsi" w:cstheme="minorBidi"/>
          <w:noProof/>
          <w:szCs w:val="22"/>
          <w:lang w:eastAsia="en-GB"/>
        </w:rPr>
      </w:pPr>
      <w:hyperlink w:anchor="_Toc61597201" w:history="1">
        <w:r w:rsidR="00523A78" w:rsidRPr="00B91524">
          <w:rPr>
            <w:rStyle w:val="Hyperlink"/>
            <w:noProof/>
          </w:rPr>
          <w:t>Table 1</w:t>
        </w:r>
        <w:r w:rsidR="00523A78" w:rsidRPr="00B91524">
          <w:rPr>
            <w:rStyle w:val="Hyperlink"/>
            <w:noProof/>
          </w:rPr>
          <w:noBreakHyphen/>
          <w:t>2 Pre- and Post-Construction Plans and Documents: Relevant Deemed Marine Licence Conditions</w:t>
        </w:r>
        <w:r w:rsidR="00523A78" w:rsidRPr="00B91524">
          <w:rPr>
            <w:noProof/>
            <w:webHidden/>
          </w:rPr>
          <w:tab/>
        </w:r>
        <w:r w:rsidR="00523A78" w:rsidRPr="00B91524">
          <w:rPr>
            <w:noProof/>
            <w:webHidden/>
          </w:rPr>
          <w:fldChar w:fldCharType="begin"/>
        </w:r>
        <w:r w:rsidR="00523A78" w:rsidRPr="00B91524">
          <w:rPr>
            <w:noProof/>
            <w:webHidden/>
          </w:rPr>
          <w:instrText xml:space="preserve"> PAGEREF _Toc61597201 \h </w:instrText>
        </w:r>
        <w:r w:rsidR="00523A78" w:rsidRPr="00B91524">
          <w:rPr>
            <w:noProof/>
            <w:webHidden/>
          </w:rPr>
        </w:r>
        <w:r w:rsidR="00523A78" w:rsidRPr="00B91524">
          <w:rPr>
            <w:noProof/>
            <w:webHidden/>
          </w:rPr>
          <w:fldChar w:fldCharType="separate"/>
        </w:r>
        <w:r>
          <w:rPr>
            <w:noProof/>
            <w:webHidden/>
          </w:rPr>
          <w:t>8</w:t>
        </w:r>
        <w:r w:rsidR="00523A78" w:rsidRPr="00B91524">
          <w:rPr>
            <w:noProof/>
            <w:webHidden/>
          </w:rPr>
          <w:fldChar w:fldCharType="end"/>
        </w:r>
      </w:hyperlink>
    </w:p>
    <w:p w14:paraId="571EDFDE" w14:textId="5FA76680" w:rsidR="00523A78" w:rsidRPr="00B91524" w:rsidRDefault="00683595">
      <w:pPr>
        <w:pStyle w:val="TableofFigures"/>
        <w:tabs>
          <w:tab w:val="right" w:leader="dot" w:pos="9746"/>
        </w:tabs>
        <w:rPr>
          <w:rFonts w:asciiTheme="minorHAnsi" w:eastAsiaTheme="minorEastAsia" w:hAnsiTheme="minorHAnsi" w:cstheme="minorBidi"/>
          <w:noProof/>
          <w:szCs w:val="22"/>
          <w:lang w:eastAsia="en-GB"/>
        </w:rPr>
      </w:pPr>
      <w:hyperlink w:anchor="_Toc61597202" w:history="1">
        <w:r w:rsidR="00523A78" w:rsidRPr="00B91524">
          <w:rPr>
            <w:rStyle w:val="Hyperlink"/>
            <w:noProof/>
          </w:rPr>
          <w:t>Table 1</w:t>
        </w:r>
        <w:r w:rsidR="00523A78" w:rsidRPr="00B91524">
          <w:rPr>
            <w:rStyle w:val="Hyperlink"/>
            <w:noProof/>
          </w:rPr>
          <w:noBreakHyphen/>
          <w:t>3 Monitoring requirements based on the dML conditions, IPMP. Dogger Bank SAC monitoring objectives and existing benthic ecology knowledge within the SOWF Order Limits.</w:t>
        </w:r>
        <w:r w:rsidR="00523A78" w:rsidRPr="00B91524">
          <w:rPr>
            <w:noProof/>
            <w:webHidden/>
          </w:rPr>
          <w:tab/>
        </w:r>
        <w:r w:rsidR="00523A78" w:rsidRPr="00B91524">
          <w:rPr>
            <w:noProof/>
            <w:webHidden/>
          </w:rPr>
          <w:fldChar w:fldCharType="begin"/>
        </w:r>
        <w:r w:rsidR="00523A78" w:rsidRPr="00B91524">
          <w:rPr>
            <w:noProof/>
            <w:webHidden/>
          </w:rPr>
          <w:instrText xml:space="preserve"> PAGEREF _Toc61597202 \h </w:instrText>
        </w:r>
        <w:r w:rsidR="00523A78" w:rsidRPr="00B91524">
          <w:rPr>
            <w:noProof/>
            <w:webHidden/>
          </w:rPr>
        </w:r>
        <w:r w:rsidR="00523A78" w:rsidRPr="00B91524">
          <w:rPr>
            <w:noProof/>
            <w:webHidden/>
          </w:rPr>
          <w:fldChar w:fldCharType="separate"/>
        </w:r>
        <w:r>
          <w:rPr>
            <w:noProof/>
            <w:webHidden/>
          </w:rPr>
          <w:t>11</w:t>
        </w:r>
        <w:r w:rsidR="00523A78" w:rsidRPr="00B91524">
          <w:rPr>
            <w:noProof/>
            <w:webHidden/>
          </w:rPr>
          <w:fldChar w:fldCharType="end"/>
        </w:r>
      </w:hyperlink>
    </w:p>
    <w:p w14:paraId="567F2815" w14:textId="01259F3B" w:rsidR="00523A78" w:rsidRPr="00B91524" w:rsidRDefault="00683595">
      <w:pPr>
        <w:pStyle w:val="TableofFigures"/>
        <w:tabs>
          <w:tab w:val="right" w:leader="dot" w:pos="9746"/>
        </w:tabs>
        <w:rPr>
          <w:rFonts w:asciiTheme="minorHAnsi" w:eastAsiaTheme="minorEastAsia" w:hAnsiTheme="minorHAnsi" w:cstheme="minorBidi"/>
          <w:noProof/>
          <w:szCs w:val="22"/>
          <w:lang w:eastAsia="en-GB"/>
        </w:rPr>
      </w:pPr>
      <w:hyperlink w:anchor="_Toc61597203" w:history="1">
        <w:r w:rsidR="00523A78" w:rsidRPr="00B91524">
          <w:rPr>
            <w:rStyle w:val="Hyperlink"/>
            <w:noProof/>
          </w:rPr>
          <w:t>Table 1</w:t>
        </w:r>
        <w:r w:rsidR="00523A78" w:rsidRPr="00B91524">
          <w:rPr>
            <w:rStyle w:val="Hyperlink"/>
            <w:noProof/>
          </w:rPr>
          <w:noBreakHyphen/>
          <w:t>4 Consultation process for benthic monitoring proposals.</w:t>
        </w:r>
        <w:r w:rsidR="00523A78" w:rsidRPr="00B91524">
          <w:rPr>
            <w:noProof/>
            <w:webHidden/>
          </w:rPr>
          <w:tab/>
        </w:r>
        <w:r w:rsidR="00523A78" w:rsidRPr="00B91524">
          <w:rPr>
            <w:noProof/>
            <w:webHidden/>
          </w:rPr>
          <w:fldChar w:fldCharType="begin"/>
        </w:r>
        <w:r w:rsidR="00523A78" w:rsidRPr="00B91524">
          <w:rPr>
            <w:noProof/>
            <w:webHidden/>
          </w:rPr>
          <w:instrText xml:space="preserve"> PAGEREF _Toc61597203 \h </w:instrText>
        </w:r>
        <w:r w:rsidR="00523A78" w:rsidRPr="00B91524">
          <w:rPr>
            <w:noProof/>
            <w:webHidden/>
          </w:rPr>
        </w:r>
        <w:r w:rsidR="00523A78" w:rsidRPr="00B91524">
          <w:rPr>
            <w:noProof/>
            <w:webHidden/>
          </w:rPr>
          <w:fldChar w:fldCharType="separate"/>
        </w:r>
        <w:r>
          <w:rPr>
            <w:noProof/>
            <w:webHidden/>
          </w:rPr>
          <w:t>13</w:t>
        </w:r>
        <w:r w:rsidR="00523A78" w:rsidRPr="00B91524">
          <w:rPr>
            <w:noProof/>
            <w:webHidden/>
          </w:rPr>
          <w:fldChar w:fldCharType="end"/>
        </w:r>
      </w:hyperlink>
    </w:p>
    <w:p w14:paraId="67317EB3" w14:textId="720439F8" w:rsidR="00523A78" w:rsidRPr="00B91524" w:rsidRDefault="00683595">
      <w:pPr>
        <w:pStyle w:val="TableofFigures"/>
        <w:tabs>
          <w:tab w:val="right" w:leader="dot" w:pos="9746"/>
        </w:tabs>
        <w:rPr>
          <w:rFonts w:asciiTheme="minorHAnsi" w:eastAsiaTheme="minorEastAsia" w:hAnsiTheme="minorHAnsi" w:cstheme="minorBidi"/>
          <w:noProof/>
          <w:szCs w:val="22"/>
          <w:lang w:eastAsia="en-GB"/>
        </w:rPr>
      </w:pPr>
      <w:hyperlink w:anchor="_Toc61597204" w:history="1">
        <w:r w:rsidR="00523A78" w:rsidRPr="00B91524">
          <w:rPr>
            <w:rStyle w:val="Hyperlink"/>
            <w:noProof/>
          </w:rPr>
          <w:t>Table 2</w:t>
        </w:r>
        <w:r w:rsidR="00523A78" w:rsidRPr="00B91524">
          <w:rPr>
            <w:rStyle w:val="Hyperlink"/>
            <w:noProof/>
          </w:rPr>
          <w:noBreakHyphen/>
          <w:t>1 Asset ownership of the Wind Farm Operator and Offshore Transmission Owner.</w:t>
        </w:r>
        <w:r w:rsidR="00523A78" w:rsidRPr="00B91524">
          <w:rPr>
            <w:noProof/>
            <w:webHidden/>
          </w:rPr>
          <w:tab/>
        </w:r>
        <w:r w:rsidR="00523A78" w:rsidRPr="00B91524">
          <w:rPr>
            <w:noProof/>
            <w:webHidden/>
          </w:rPr>
          <w:fldChar w:fldCharType="begin"/>
        </w:r>
        <w:r w:rsidR="00523A78" w:rsidRPr="00B91524">
          <w:rPr>
            <w:noProof/>
            <w:webHidden/>
          </w:rPr>
          <w:instrText xml:space="preserve"> PAGEREF _Toc61597204 \h </w:instrText>
        </w:r>
        <w:r w:rsidR="00523A78" w:rsidRPr="00B91524">
          <w:rPr>
            <w:noProof/>
            <w:webHidden/>
          </w:rPr>
        </w:r>
        <w:r w:rsidR="00523A78" w:rsidRPr="00B91524">
          <w:rPr>
            <w:noProof/>
            <w:webHidden/>
          </w:rPr>
          <w:fldChar w:fldCharType="separate"/>
        </w:r>
        <w:r>
          <w:rPr>
            <w:noProof/>
            <w:webHidden/>
          </w:rPr>
          <w:t>17</w:t>
        </w:r>
        <w:r w:rsidR="00523A78" w:rsidRPr="00B91524">
          <w:rPr>
            <w:noProof/>
            <w:webHidden/>
          </w:rPr>
          <w:fldChar w:fldCharType="end"/>
        </w:r>
      </w:hyperlink>
    </w:p>
    <w:p w14:paraId="70D68765" w14:textId="19D7BE1D" w:rsidR="00523A78" w:rsidRPr="00B91524" w:rsidRDefault="00683595">
      <w:pPr>
        <w:pStyle w:val="TableofFigures"/>
        <w:tabs>
          <w:tab w:val="right" w:leader="dot" w:pos="9746"/>
        </w:tabs>
        <w:rPr>
          <w:rFonts w:asciiTheme="minorHAnsi" w:eastAsiaTheme="minorEastAsia" w:hAnsiTheme="minorHAnsi" w:cstheme="minorBidi"/>
          <w:noProof/>
          <w:szCs w:val="22"/>
          <w:lang w:eastAsia="en-GB"/>
        </w:rPr>
      </w:pPr>
      <w:hyperlink w:anchor="_Toc61597205" w:history="1">
        <w:r w:rsidR="00523A78" w:rsidRPr="00B91524">
          <w:rPr>
            <w:rStyle w:val="Hyperlink"/>
            <w:noProof/>
          </w:rPr>
          <w:t>Table 4</w:t>
        </w:r>
        <w:r w:rsidR="00523A78" w:rsidRPr="00B91524">
          <w:rPr>
            <w:rStyle w:val="Hyperlink"/>
            <w:noProof/>
          </w:rPr>
          <w:noBreakHyphen/>
          <w:t>1 Outline of pre-construction benthic baseline reporting structure.</w:t>
        </w:r>
        <w:r w:rsidR="00523A78" w:rsidRPr="00B91524">
          <w:rPr>
            <w:noProof/>
            <w:webHidden/>
          </w:rPr>
          <w:tab/>
        </w:r>
        <w:r w:rsidR="00523A78" w:rsidRPr="00B91524">
          <w:rPr>
            <w:noProof/>
            <w:webHidden/>
          </w:rPr>
          <w:fldChar w:fldCharType="begin"/>
        </w:r>
        <w:r w:rsidR="00523A78" w:rsidRPr="00B91524">
          <w:rPr>
            <w:noProof/>
            <w:webHidden/>
          </w:rPr>
          <w:instrText xml:space="preserve"> PAGEREF _Toc61597205 \h </w:instrText>
        </w:r>
        <w:r w:rsidR="00523A78" w:rsidRPr="00B91524">
          <w:rPr>
            <w:noProof/>
            <w:webHidden/>
          </w:rPr>
        </w:r>
        <w:r w:rsidR="00523A78" w:rsidRPr="00B91524">
          <w:rPr>
            <w:noProof/>
            <w:webHidden/>
          </w:rPr>
          <w:fldChar w:fldCharType="separate"/>
        </w:r>
        <w:r>
          <w:rPr>
            <w:noProof/>
            <w:webHidden/>
          </w:rPr>
          <w:t>29</w:t>
        </w:r>
        <w:r w:rsidR="00523A78" w:rsidRPr="00B91524">
          <w:rPr>
            <w:noProof/>
            <w:webHidden/>
          </w:rPr>
          <w:fldChar w:fldCharType="end"/>
        </w:r>
      </w:hyperlink>
    </w:p>
    <w:p w14:paraId="4F0F3EC8" w14:textId="6EDC5419" w:rsidR="001619C5" w:rsidRPr="00B91524" w:rsidRDefault="001619C5" w:rsidP="008A05CF">
      <w:pPr>
        <w:spacing w:before="120"/>
        <w:rPr>
          <w:rFonts w:cs="Arial"/>
          <w:szCs w:val="22"/>
        </w:rPr>
      </w:pPr>
      <w:r w:rsidRPr="00B91524">
        <w:rPr>
          <w:rFonts w:cs="Arial"/>
          <w:szCs w:val="22"/>
        </w:rPr>
        <w:fldChar w:fldCharType="end"/>
      </w:r>
    </w:p>
    <w:p w14:paraId="6DF34B23" w14:textId="77777777" w:rsidR="00242AD0" w:rsidRPr="00B91524" w:rsidRDefault="00242AD0" w:rsidP="00242AD0">
      <w:pPr>
        <w:spacing w:after="480"/>
        <w:rPr>
          <w:rFonts w:cs="Arial"/>
          <w:b/>
          <w:color w:val="1D4477" w:themeColor="accent1"/>
          <w:sz w:val="28"/>
        </w:rPr>
      </w:pPr>
      <w:r w:rsidRPr="00B91524">
        <w:rPr>
          <w:rFonts w:cs="Arial"/>
          <w:b/>
          <w:color w:val="1D4477" w:themeColor="accent1"/>
          <w:sz w:val="28"/>
        </w:rPr>
        <w:t>Figures</w:t>
      </w:r>
    </w:p>
    <w:p w14:paraId="6196AC8E" w14:textId="4FD57F0A" w:rsidR="0009712F" w:rsidRPr="00B91524" w:rsidRDefault="001619C5">
      <w:pPr>
        <w:pStyle w:val="TableofFigures"/>
        <w:tabs>
          <w:tab w:val="right" w:leader="dot" w:pos="9746"/>
        </w:tabs>
        <w:rPr>
          <w:rFonts w:asciiTheme="minorHAnsi" w:eastAsiaTheme="minorEastAsia" w:hAnsiTheme="minorHAnsi" w:cstheme="minorBidi"/>
          <w:noProof/>
          <w:szCs w:val="22"/>
          <w:lang w:eastAsia="en-GB"/>
        </w:rPr>
      </w:pPr>
      <w:r w:rsidRPr="00B91524">
        <w:rPr>
          <w:rFonts w:cs="Arial"/>
          <w:bCs/>
        </w:rPr>
        <w:fldChar w:fldCharType="begin"/>
      </w:r>
      <w:r w:rsidRPr="00B91524">
        <w:rPr>
          <w:rFonts w:cs="Arial"/>
          <w:bCs/>
        </w:rPr>
        <w:instrText xml:space="preserve"> TOC \h \z \c "Figure" </w:instrText>
      </w:r>
      <w:r w:rsidRPr="00B91524">
        <w:rPr>
          <w:rFonts w:cs="Arial"/>
          <w:bCs/>
        </w:rPr>
        <w:fldChar w:fldCharType="separate"/>
      </w:r>
      <w:hyperlink w:anchor="_Toc62048810" w:history="1">
        <w:r w:rsidR="0009712F" w:rsidRPr="00B91524">
          <w:rPr>
            <w:rStyle w:val="Hyperlink"/>
            <w:noProof/>
          </w:rPr>
          <w:t>Figure 2</w:t>
        </w:r>
        <w:r w:rsidR="0009712F" w:rsidRPr="00B91524">
          <w:rPr>
            <w:rStyle w:val="Hyperlink"/>
            <w:noProof/>
          </w:rPr>
          <w:noBreakHyphen/>
          <w:t>1 The location and project layout of the Sofia Offshore Wind Farm (SOWF).</w:t>
        </w:r>
        <w:r w:rsidR="0009712F" w:rsidRPr="00B91524">
          <w:rPr>
            <w:noProof/>
            <w:webHidden/>
          </w:rPr>
          <w:tab/>
        </w:r>
        <w:r w:rsidR="0009712F" w:rsidRPr="00B91524">
          <w:rPr>
            <w:noProof/>
            <w:webHidden/>
          </w:rPr>
          <w:fldChar w:fldCharType="begin"/>
        </w:r>
        <w:r w:rsidR="0009712F" w:rsidRPr="00B91524">
          <w:rPr>
            <w:noProof/>
            <w:webHidden/>
          </w:rPr>
          <w:instrText xml:space="preserve"> PAGEREF _Toc62048810 \h </w:instrText>
        </w:r>
        <w:r w:rsidR="0009712F" w:rsidRPr="00B91524">
          <w:rPr>
            <w:noProof/>
            <w:webHidden/>
          </w:rPr>
        </w:r>
        <w:r w:rsidR="0009712F" w:rsidRPr="00B91524">
          <w:rPr>
            <w:noProof/>
            <w:webHidden/>
          </w:rPr>
          <w:fldChar w:fldCharType="separate"/>
        </w:r>
        <w:r w:rsidR="00683595">
          <w:rPr>
            <w:noProof/>
            <w:webHidden/>
          </w:rPr>
          <w:t>15</w:t>
        </w:r>
        <w:r w:rsidR="0009712F" w:rsidRPr="00B91524">
          <w:rPr>
            <w:noProof/>
            <w:webHidden/>
          </w:rPr>
          <w:fldChar w:fldCharType="end"/>
        </w:r>
      </w:hyperlink>
    </w:p>
    <w:p w14:paraId="6C66ABE3" w14:textId="20F1887B" w:rsidR="0009712F" w:rsidRPr="00B91524" w:rsidRDefault="00683595">
      <w:pPr>
        <w:pStyle w:val="TableofFigures"/>
        <w:tabs>
          <w:tab w:val="right" w:leader="dot" w:pos="9746"/>
        </w:tabs>
        <w:rPr>
          <w:rFonts w:asciiTheme="minorHAnsi" w:eastAsiaTheme="minorEastAsia" w:hAnsiTheme="minorHAnsi" w:cstheme="minorBidi"/>
          <w:noProof/>
          <w:szCs w:val="22"/>
          <w:lang w:eastAsia="en-GB"/>
        </w:rPr>
      </w:pPr>
      <w:hyperlink w:anchor="_Toc62048811" w:history="1">
        <w:r w:rsidR="0009712F" w:rsidRPr="00B91524">
          <w:rPr>
            <w:rStyle w:val="Hyperlink"/>
            <w:rFonts w:cstheme="minorHAnsi"/>
            <w:noProof/>
          </w:rPr>
          <w:t>Figure 2</w:t>
        </w:r>
        <w:r w:rsidR="0009712F" w:rsidRPr="00B91524">
          <w:rPr>
            <w:rStyle w:val="Hyperlink"/>
            <w:rFonts w:cstheme="minorHAnsi"/>
            <w:noProof/>
          </w:rPr>
          <w:noBreakHyphen/>
          <w:t>2 Diagram showing the Grid Entry Point between the Wind Farm Operator and Offshore Transmission Owner systems.</w:t>
        </w:r>
        <w:r w:rsidR="0009712F" w:rsidRPr="00B91524">
          <w:rPr>
            <w:noProof/>
            <w:webHidden/>
          </w:rPr>
          <w:tab/>
        </w:r>
        <w:r w:rsidR="0009712F" w:rsidRPr="00B91524">
          <w:rPr>
            <w:noProof/>
            <w:webHidden/>
          </w:rPr>
          <w:fldChar w:fldCharType="begin"/>
        </w:r>
        <w:r w:rsidR="0009712F" w:rsidRPr="00B91524">
          <w:rPr>
            <w:noProof/>
            <w:webHidden/>
          </w:rPr>
          <w:instrText xml:space="preserve"> PAGEREF _Toc62048811 \h </w:instrText>
        </w:r>
        <w:r w:rsidR="0009712F" w:rsidRPr="00B91524">
          <w:rPr>
            <w:noProof/>
            <w:webHidden/>
          </w:rPr>
        </w:r>
        <w:r w:rsidR="0009712F" w:rsidRPr="00B91524">
          <w:rPr>
            <w:noProof/>
            <w:webHidden/>
          </w:rPr>
          <w:fldChar w:fldCharType="separate"/>
        </w:r>
        <w:r>
          <w:rPr>
            <w:noProof/>
            <w:webHidden/>
          </w:rPr>
          <w:t>17</w:t>
        </w:r>
        <w:r w:rsidR="0009712F" w:rsidRPr="00B91524">
          <w:rPr>
            <w:noProof/>
            <w:webHidden/>
          </w:rPr>
          <w:fldChar w:fldCharType="end"/>
        </w:r>
      </w:hyperlink>
    </w:p>
    <w:p w14:paraId="39DD05B2" w14:textId="3FD84642" w:rsidR="0009712F" w:rsidRPr="00B91524" w:rsidRDefault="00683595">
      <w:pPr>
        <w:pStyle w:val="TableofFigures"/>
        <w:tabs>
          <w:tab w:val="right" w:leader="dot" w:pos="9746"/>
        </w:tabs>
        <w:rPr>
          <w:rFonts w:asciiTheme="minorHAnsi" w:eastAsiaTheme="minorEastAsia" w:hAnsiTheme="minorHAnsi" w:cstheme="minorBidi"/>
          <w:noProof/>
          <w:szCs w:val="22"/>
          <w:lang w:eastAsia="en-GB"/>
        </w:rPr>
      </w:pPr>
      <w:hyperlink w:anchor="_Toc62048812" w:history="1">
        <w:r w:rsidR="0009712F" w:rsidRPr="00B91524">
          <w:rPr>
            <w:rStyle w:val="Hyperlink"/>
            <w:noProof/>
          </w:rPr>
          <w:t>Figure 4</w:t>
        </w:r>
        <w:r w:rsidR="0009712F" w:rsidRPr="00B91524">
          <w:rPr>
            <w:rStyle w:val="Hyperlink"/>
            <w:noProof/>
          </w:rPr>
          <w:noBreakHyphen/>
          <w:t>1 Proposed arrangement of benthic sampling at each selected WTG location. Note that BRUV sampling will only take place at a subset of WTG locations.</w:t>
        </w:r>
        <w:r w:rsidR="0009712F" w:rsidRPr="00B91524">
          <w:rPr>
            <w:noProof/>
            <w:webHidden/>
          </w:rPr>
          <w:tab/>
        </w:r>
        <w:r w:rsidR="0009712F" w:rsidRPr="00B91524">
          <w:rPr>
            <w:noProof/>
            <w:webHidden/>
          </w:rPr>
          <w:fldChar w:fldCharType="begin"/>
        </w:r>
        <w:r w:rsidR="0009712F" w:rsidRPr="00B91524">
          <w:rPr>
            <w:noProof/>
            <w:webHidden/>
          </w:rPr>
          <w:instrText xml:space="preserve"> PAGEREF _Toc62048812 \h </w:instrText>
        </w:r>
        <w:r w:rsidR="0009712F" w:rsidRPr="00B91524">
          <w:rPr>
            <w:noProof/>
            <w:webHidden/>
          </w:rPr>
        </w:r>
        <w:r w:rsidR="0009712F" w:rsidRPr="00B91524">
          <w:rPr>
            <w:noProof/>
            <w:webHidden/>
          </w:rPr>
          <w:fldChar w:fldCharType="separate"/>
        </w:r>
        <w:r>
          <w:rPr>
            <w:noProof/>
            <w:webHidden/>
          </w:rPr>
          <w:t>23</w:t>
        </w:r>
        <w:r w:rsidR="0009712F" w:rsidRPr="00B91524">
          <w:rPr>
            <w:noProof/>
            <w:webHidden/>
          </w:rPr>
          <w:fldChar w:fldCharType="end"/>
        </w:r>
      </w:hyperlink>
    </w:p>
    <w:p w14:paraId="6F305C98" w14:textId="5A24B525" w:rsidR="0009712F" w:rsidRPr="00B91524" w:rsidRDefault="00683595">
      <w:pPr>
        <w:pStyle w:val="TableofFigures"/>
        <w:tabs>
          <w:tab w:val="right" w:leader="dot" w:pos="9746"/>
        </w:tabs>
        <w:rPr>
          <w:rFonts w:asciiTheme="minorHAnsi" w:eastAsiaTheme="minorEastAsia" w:hAnsiTheme="minorHAnsi" w:cstheme="minorBidi"/>
          <w:noProof/>
          <w:szCs w:val="22"/>
          <w:lang w:eastAsia="en-GB"/>
        </w:rPr>
      </w:pPr>
      <w:hyperlink w:anchor="_Toc62048813" w:history="1">
        <w:r w:rsidR="0009712F" w:rsidRPr="00B91524">
          <w:rPr>
            <w:rStyle w:val="Hyperlink"/>
            <w:noProof/>
          </w:rPr>
          <w:t>Figure I</w:t>
        </w:r>
        <w:r w:rsidR="0009712F" w:rsidRPr="00B91524">
          <w:rPr>
            <w:rStyle w:val="Hyperlink"/>
            <w:noProof/>
          </w:rPr>
          <w:noBreakHyphen/>
          <w:t>1 Overview of nearshore BMP DDC transects overlain on 2020 SSS data.</w:t>
        </w:r>
        <w:r w:rsidR="0009712F" w:rsidRPr="00B91524">
          <w:rPr>
            <w:noProof/>
            <w:webHidden/>
          </w:rPr>
          <w:tab/>
        </w:r>
        <w:r w:rsidR="0009712F" w:rsidRPr="00B91524">
          <w:rPr>
            <w:noProof/>
            <w:webHidden/>
          </w:rPr>
          <w:fldChar w:fldCharType="begin"/>
        </w:r>
        <w:r w:rsidR="0009712F" w:rsidRPr="00B91524">
          <w:rPr>
            <w:noProof/>
            <w:webHidden/>
          </w:rPr>
          <w:instrText xml:space="preserve"> PAGEREF _Toc62048813 \h </w:instrText>
        </w:r>
        <w:r w:rsidR="0009712F" w:rsidRPr="00B91524">
          <w:rPr>
            <w:noProof/>
            <w:webHidden/>
          </w:rPr>
        </w:r>
        <w:r w:rsidR="0009712F" w:rsidRPr="00B91524">
          <w:rPr>
            <w:noProof/>
            <w:webHidden/>
          </w:rPr>
          <w:fldChar w:fldCharType="separate"/>
        </w:r>
        <w:r>
          <w:rPr>
            <w:noProof/>
            <w:webHidden/>
          </w:rPr>
          <w:t>52</w:t>
        </w:r>
        <w:r w:rsidR="0009712F" w:rsidRPr="00B91524">
          <w:rPr>
            <w:noProof/>
            <w:webHidden/>
          </w:rPr>
          <w:fldChar w:fldCharType="end"/>
        </w:r>
      </w:hyperlink>
    </w:p>
    <w:p w14:paraId="2D5D38BE" w14:textId="1BE8F3C6" w:rsidR="0009712F" w:rsidRPr="00B91524" w:rsidRDefault="00683595">
      <w:pPr>
        <w:pStyle w:val="TableofFigures"/>
        <w:tabs>
          <w:tab w:val="right" w:leader="dot" w:pos="9746"/>
        </w:tabs>
        <w:rPr>
          <w:rFonts w:asciiTheme="minorHAnsi" w:eastAsiaTheme="minorEastAsia" w:hAnsiTheme="minorHAnsi" w:cstheme="minorBidi"/>
          <w:noProof/>
          <w:szCs w:val="22"/>
          <w:lang w:eastAsia="en-GB"/>
        </w:rPr>
      </w:pPr>
      <w:hyperlink w:anchor="_Toc62048814" w:history="1">
        <w:r w:rsidR="0009712F" w:rsidRPr="00B91524">
          <w:rPr>
            <w:rStyle w:val="Hyperlink"/>
            <w:noProof/>
          </w:rPr>
          <w:t>Figure I</w:t>
        </w:r>
        <w:r w:rsidR="0009712F" w:rsidRPr="00B91524">
          <w:rPr>
            <w:rStyle w:val="Hyperlink"/>
            <w:noProof/>
          </w:rPr>
          <w:noBreakHyphen/>
          <w:t>2 – Location of nearshore DDC transects relative to the proposed HDD exit point options overlain on 2020 MBES data.</w:t>
        </w:r>
        <w:r w:rsidR="0009712F" w:rsidRPr="00B91524">
          <w:rPr>
            <w:noProof/>
            <w:webHidden/>
          </w:rPr>
          <w:tab/>
        </w:r>
        <w:r w:rsidR="0009712F" w:rsidRPr="00B91524">
          <w:rPr>
            <w:noProof/>
            <w:webHidden/>
          </w:rPr>
          <w:fldChar w:fldCharType="begin"/>
        </w:r>
        <w:r w:rsidR="0009712F" w:rsidRPr="00B91524">
          <w:rPr>
            <w:noProof/>
            <w:webHidden/>
          </w:rPr>
          <w:instrText xml:space="preserve"> PAGEREF _Toc62048814 \h </w:instrText>
        </w:r>
        <w:r w:rsidR="0009712F" w:rsidRPr="00B91524">
          <w:rPr>
            <w:noProof/>
            <w:webHidden/>
          </w:rPr>
        </w:r>
        <w:r w:rsidR="0009712F" w:rsidRPr="00B91524">
          <w:rPr>
            <w:noProof/>
            <w:webHidden/>
          </w:rPr>
          <w:fldChar w:fldCharType="separate"/>
        </w:r>
        <w:r>
          <w:rPr>
            <w:noProof/>
            <w:webHidden/>
          </w:rPr>
          <w:t>53</w:t>
        </w:r>
        <w:r w:rsidR="0009712F" w:rsidRPr="00B91524">
          <w:rPr>
            <w:noProof/>
            <w:webHidden/>
          </w:rPr>
          <w:fldChar w:fldCharType="end"/>
        </w:r>
      </w:hyperlink>
    </w:p>
    <w:p w14:paraId="6C569EDF" w14:textId="76672FC2" w:rsidR="0009712F" w:rsidRPr="00B91524" w:rsidRDefault="00683595">
      <w:pPr>
        <w:pStyle w:val="TableofFigures"/>
        <w:tabs>
          <w:tab w:val="right" w:leader="dot" w:pos="9746"/>
        </w:tabs>
        <w:rPr>
          <w:rFonts w:asciiTheme="minorHAnsi" w:eastAsiaTheme="minorEastAsia" w:hAnsiTheme="minorHAnsi" w:cstheme="minorBidi"/>
          <w:noProof/>
          <w:szCs w:val="22"/>
          <w:lang w:eastAsia="en-GB"/>
        </w:rPr>
      </w:pPr>
      <w:hyperlink w:anchor="_Toc62048815" w:history="1">
        <w:r w:rsidR="0009712F" w:rsidRPr="00B91524">
          <w:rPr>
            <w:rStyle w:val="Hyperlink"/>
            <w:noProof/>
          </w:rPr>
          <w:t>Figure I</w:t>
        </w:r>
        <w:r w:rsidR="0009712F" w:rsidRPr="00B91524">
          <w:rPr>
            <w:rStyle w:val="Hyperlink"/>
            <w:noProof/>
          </w:rPr>
          <w:noBreakHyphen/>
          <w:t>3– Location of nearshore DDC transects out to KP 8 overlain on 2020 MBES data.</w:t>
        </w:r>
        <w:r w:rsidR="0009712F" w:rsidRPr="00B91524">
          <w:rPr>
            <w:noProof/>
            <w:webHidden/>
          </w:rPr>
          <w:tab/>
        </w:r>
        <w:r w:rsidR="0009712F" w:rsidRPr="00B91524">
          <w:rPr>
            <w:noProof/>
            <w:webHidden/>
          </w:rPr>
          <w:fldChar w:fldCharType="begin"/>
        </w:r>
        <w:r w:rsidR="0009712F" w:rsidRPr="00B91524">
          <w:rPr>
            <w:noProof/>
            <w:webHidden/>
          </w:rPr>
          <w:instrText xml:space="preserve"> PAGEREF _Toc62048815 \h </w:instrText>
        </w:r>
        <w:r w:rsidR="0009712F" w:rsidRPr="00B91524">
          <w:rPr>
            <w:noProof/>
            <w:webHidden/>
          </w:rPr>
        </w:r>
        <w:r w:rsidR="0009712F" w:rsidRPr="00B91524">
          <w:rPr>
            <w:noProof/>
            <w:webHidden/>
          </w:rPr>
          <w:fldChar w:fldCharType="separate"/>
        </w:r>
        <w:r>
          <w:rPr>
            <w:noProof/>
            <w:webHidden/>
          </w:rPr>
          <w:t>54</w:t>
        </w:r>
        <w:r w:rsidR="0009712F" w:rsidRPr="00B91524">
          <w:rPr>
            <w:noProof/>
            <w:webHidden/>
          </w:rPr>
          <w:fldChar w:fldCharType="end"/>
        </w:r>
      </w:hyperlink>
    </w:p>
    <w:p w14:paraId="762921CA" w14:textId="499BAC72" w:rsidR="00C35425" w:rsidRPr="00B91524" w:rsidRDefault="001619C5" w:rsidP="008A05CF">
      <w:pPr>
        <w:spacing w:before="120" w:line="276" w:lineRule="auto"/>
        <w:rPr>
          <w:rFonts w:cs="Arial"/>
          <w:bCs/>
        </w:rPr>
      </w:pPr>
      <w:r w:rsidRPr="00B91524">
        <w:rPr>
          <w:rFonts w:cs="Arial"/>
          <w:bCs/>
        </w:rPr>
        <w:lastRenderedPageBreak/>
        <w:fldChar w:fldCharType="end"/>
      </w:r>
    </w:p>
    <w:p w14:paraId="743366FB" w14:textId="77777777" w:rsidR="0009712F" w:rsidRPr="00B91524" w:rsidRDefault="0009712F" w:rsidP="008A05CF">
      <w:pPr>
        <w:spacing w:before="120" w:line="276" w:lineRule="auto"/>
        <w:rPr>
          <w:rFonts w:cs="Arial"/>
          <w:bCs/>
        </w:rPr>
      </w:pPr>
    </w:p>
    <w:p w14:paraId="257F25E3" w14:textId="3F08747E" w:rsidR="00C35425" w:rsidRPr="00B91524" w:rsidRDefault="00C35425" w:rsidP="00C35425">
      <w:pPr>
        <w:spacing w:after="480"/>
        <w:rPr>
          <w:rFonts w:cs="Arial"/>
          <w:b/>
          <w:color w:val="1D4477" w:themeColor="accent1"/>
          <w:sz w:val="28"/>
        </w:rPr>
      </w:pPr>
      <w:r w:rsidRPr="00B91524">
        <w:rPr>
          <w:rFonts w:cs="Arial"/>
          <w:b/>
          <w:color w:val="1D4477" w:themeColor="accent1"/>
          <w:sz w:val="28"/>
        </w:rPr>
        <w:t>Appendices</w:t>
      </w:r>
    </w:p>
    <w:p w14:paraId="07FBEE47" w14:textId="3269FE81" w:rsidR="005C076B" w:rsidRPr="00B91524" w:rsidRDefault="005C076B" w:rsidP="00BE32FA">
      <w:pPr>
        <w:spacing w:before="120" w:line="276" w:lineRule="auto"/>
        <w:rPr>
          <w:rFonts w:cs="Arial"/>
          <w:bCs/>
        </w:rPr>
      </w:pPr>
      <w:r w:rsidRPr="00B91524">
        <w:rPr>
          <w:rFonts w:cs="Arial"/>
          <w:bCs/>
        </w:rPr>
        <w:t>Appendix A – Natural England and JNCC benthic monitoring objectives for the Dogger Bank SAC</w:t>
      </w:r>
    </w:p>
    <w:p w14:paraId="71889407" w14:textId="56837E53" w:rsidR="00BE32FA" w:rsidRPr="00B91524" w:rsidRDefault="00BE32FA" w:rsidP="00BE32FA">
      <w:pPr>
        <w:spacing w:before="120" w:line="276" w:lineRule="auto"/>
        <w:rPr>
          <w:rFonts w:cs="Arial"/>
          <w:bCs/>
        </w:rPr>
      </w:pPr>
      <w:r w:rsidRPr="00B91524">
        <w:rPr>
          <w:rFonts w:cs="Arial"/>
          <w:bCs/>
        </w:rPr>
        <w:t xml:space="preserve">Appendix </w:t>
      </w:r>
      <w:r w:rsidR="005C076B" w:rsidRPr="00B91524">
        <w:rPr>
          <w:rFonts w:cs="Arial"/>
          <w:bCs/>
        </w:rPr>
        <w:t>B</w:t>
      </w:r>
      <w:r w:rsidRPr="00B91524">
        <w:rPr>
          <w:rFonts w:cs="Arial"/>
          <w:bCs/>
        </w:rPr>
        <w:t xml:space="preserve"> - Existing and prospect data used in the development of the BMP. </w:t>
      </w:r>
    </w:p>
    <w:p w14:paraId="6BE28FAF" w14:textId="0D920A60" w:rsidR="006B6B93" w:rsidRPr="00B91524" w:rsidRDefault="006B6B93" w:rsidP="006B6B93">
      <w:pPr>
        <w:spacing w:before="120" w:line="276" w:lineRule="auto"/>
        <w:rPr>
          <w:rFonts w:cs="Arial"/>
          <w:bCs/>
        </w:rPr>
      </w:pPr>
      <w:r w:rsidRPr="00B91524">
        <w:rPr>
          <w:rFonts w:cs="Arial"/>
          <w:bCs/>
        </w:rPr>
        <w:t xml:space="preserve">Appendix </w:t>
      </w:r>
      <w:r w:rsidR="005C076B" w:rsidRPr="00B91524">
        <w:rPr>
          <w:rFonts w:cs="Arial"/>
          <w:bCs/>
        </w:rPr>
        <w:t>C</w:t>
      </w:r>
      <w:r w:rsidRPr="00B91524">
        <w:rPr>
          <w:rFonts w:cs="Arial"/>
          <w:bCs/>
        </w:rPr>
        <w:t xml:space="preserve"> - Offshore in Principle monitoring plan and rationale of monitoring presented within this benthic monitoring plan</w:t>
      </w:r>
    </w:p>
    <w:p w14:paraId="6DAF291A" w14:textId="36A4BEA5" w:rsidR="006B6B93" w:rsidRPr="00B91524" w:rsidRDefault="006B6B93" w:rsidP="006B6B93">
      <w:pPr>
        <w:spacing w:before="120" w:line="276" w:lineRule="auto"/>
        <w:rPr>
          <w:rFonts w:cs="Arial"/>
          <w:bCs/>
        </w:rPr>
      </w:pPr>
      <w:r w:rsidRPr="00B91524">
        <w:rPr>
          <w:rFonts w:cs="Arial"/>
          <w:bCs/>
        </w:rPr>
        <w:t xml:space="preserve">Appendix </w:t>
      </w:r>
      <w:r w:rsidR="005C076B" w:rsidRPr="00B91524">
        <w:rPr>
          <w:rFonts w:cs="Arial"/>
          <w:bCs/>
        </w:rPr>
        <w:t>D</w:t>
      </w:r>
      <w:r w:rsidRPr="00B91524">
        <w:rPr>
          <w:rFonts w:cs="Arial"/>
          <w:bCs/>
        </w:rPr>
        <w:t xml:space="preserve"> - EUNIS Mapping</w:t>
      </w:r>
    </w:p>
    <w:p w14:paraId="73C8C673" w14:textId="69329B80" w:rsidR="006B6B93" w:rsidRPr="00B91524" w:rsidRDefault="006B6B93" w:rsidP="006B6B93">
      <w:pPr>
        <w:spacing w:before="120" w:line="276" w:lineRule="auto"/>
        <w:rPr>
          <w:rFonts w:cs="Arial"/>
          <w:bCs/>
        </w:rPr>
      </w:pPr>
      <w:r w:rsidRPr="00B91524">
        <w:rPr>
          <w:rFonts w:cs="Arial"/>
          <w:bCs/>
        </w:rPr>
        <w:t xml:space="preserve">Appendix </w:t>
      </w:r>
      <w:r w:rsidR="005C076B" w:rsidRPr="00B91524">
        <w:rPr>
          <w:rFonts w:cs="Arial"/>
          <w:bCs/>
        </w:rPr>
        <w:t>E</w:t>
      </w:r>
      <w:r w:rsidRPr="00B91524">
        <w:rPr>
          <w:rFonts w:cs="Arial"/>
          <w:bCs/>
        </w:rPr>
        <w:t xml:space="preserve"> - Valued Ecological Receptor (VER) categories</w:t>
      </w:r>
    </w:p>
    <w:p w14:paraId="78721B4A" w14:textId="55847C5A" w:rsidR="006B6B93" w:rsidRPr="00B91524" w:rsidRDefault="006B6B93" w:rsidP="006B6B93">
      <w:pPr>
        <w:spacing w:before="120" w:line="276" w:lineRule="auto"/>
        <w:rPr>
          <w:rFonts w:cs="Arial"/>
          <w:bCs/>
        </w:rPr>
      </w:pPr>
      <w:r w:rsidRPr="00B91524">
        <w:rPr>
          <w:rFonts w:cs="Arial"/>
          <w:bCs/>
        </w:rPr>
        <w:t xml:space="preserve">Appendix </w:t>
      </w:r>
      <w:r w:rsidR="005C076B" w:rsidRPr="00B91524">
        <w:rPr>
          <w:rFonts w:cs="Arial"/>
          <w:bCs/>
        </w:rPr>
        <w:t>F</w:t>
      </w:r>
      <w:r w:rsidRPr="00B91524">
        <w:rPr>
          <w:rFonts w:cs="Arial"/>
          <w:bCs/>
        </w:rPr>
        <w:t xml:space="preserve"> - Valued Ecological Receptor (VER) protection status and conservation interest and their importance/value within the study area.</w:t>
      </w:r>
    </w:p>
    <w:p w14:paraId="4C8DED47" w14:textId="56A37664" w:rsidR="006B6B93" w:rsidRPr="00B91524" w:rsidRDefault="006B6B93" w:rsidP="006B6B93">
      <w:pPr>
        <w:spacing w:before="120" w:line="276" w:lineRule="auto"/>
        <w:rPr>
          <w:rFonts w:cs="Arial"/>
          <w:bCs/>
        </w:rPr>
      </w:pPr>
      <w:r w:rsidRPr="00B91524">
        <w:rPr>
          <w:rFonts w:cs="Arial"/>
          <w:bCs/>
        </w:rPr>
        <w:t xml:space="preserve">Appendix </w:t>
      </w:r>
      <w:r w:rsidR="005C076B" w:rsidRPr="00B91524">
        <w:rPr>
          <w:rFonts w:cs="Arial"/>
          <w:bCs/>
        </w:rPr>
        <w:t>G</w:t>
      </w:r>
      <w:r w:rsidRPr="00B91524">
        <w:rPr>
          <w:rFonts w:cs="Arial"/>
          <w:bCs/>
        </w:rPr>
        <w:t xml:space="preserve"> - Summary of predicted effects of SOWF on benthic habitats</w:t>
      </w:r>
    </w:p>
    <w:p w14:paraId="313E086B" w14:textId="77777777" w:rsidR="00891568" w:rsidRPr="00B91524" w:rsidRDefault="006B6B93" w:rsidP="006B6B93">
      <w:pPr>
        <w:spacing w:before="120" w:line="276" w:lineRule="auto"/>
        <w:rPr>
          <w:rFonts w:cs="Arial"/>
          <w:bCs/>
        </w:rPr>
      </w:pPr>
      <w:r w:rsidRPr="00B91524">
        <w:rPr>
          <w:rFonts w:cs="Arial"/>
          <w:bCs/>
        </w:rPr>
        <w:t xml:space="preserve">Appendix </w:t>
      </w:r>
      <w:r w:rsidR="005C076B" w:rsidRPr="00B91524">
        <w:rPr>
          <w:rFonts w:cs="Arial"/>
          <w:bCs/>
        </w:rPr>
        <w:t>H</w:t>
      </w:r>
      <w:r w:rsidRPr="00B91524">
        <w:rPr>
          <w:rFonts w:cs="Arial"/>
          <w:bCs/>
        </w:rPr>
        <w:t xml:space="preserve"> - Associated documents </w:t>
      </w:r>
    </w:p>
    <w:p w14:paraId="4D98C36A" w14:textId="77777777" w:rsidR="003B0DC0" w:rsidRPr="00B91524" w:rsidRDefault="00891568" w:rsidP="006B6B93">
      <w:pPr>
        <w:spacing w:before="120" w:line="276" w:lineRule="auto"/>
        <w:rPr>
          <w:rFonts w:cs="Arial"/>
          <w:bCs/>
        </w:rPr>
      </w:pPr>
      <w:r w:rsidRPr="00B91524">
        <w:rPr>
          <w:rFonts w:cs="Arial"/>
          <w:bCs/>
        </w:rPr>
        <w:t xml:space="preserve">Appendix </w:t>
      </w:r>
      <w:r w:rsidR="00D300AA" w:rsidRPr="00B91524">
        <w:rPr>
          <w:rFonts w:cs="Arial"/>
          <w:bCs/>
        </w:rPr>
        <w:t>I</w:t>
      </w:r>
      <w:r w:rsidRPr="00B91524">
        <w:rPr>
          <w:rFonts w:cs="Arial"/>
          <w:bCs/>
        </w:rPr>
        <w:t xml:space="preserve"> – Nearshore sampling locations (out to K</w:t>
      </w:r>
      <w:r w:rsidR="00C37A82" w:rsidRPr="00B91524">
        <w:rPr>
          <w:rFonts w:cs="Arial"/>
          <w:bCs/>
        </w:rPr>
        <w:t xml:space="preserve">ilometre </w:t>
      </w:r>
      <w:r w:rsidRPr="00B91524">
        <w:rPr>
          <w:rFonts w:cs="Arial"/>
          <w:bCs/>
        </w:rPr>
        <w:t>P</w:t>
      </w:r>
      <w:r w:rsidR="00C37A82" w:rsidRPr="00B91524">
        <w:rPr>
          <w:rFonts w:cs="Arial"/>
          <w:bCs/>
        </w:rPr>
        <w:t>oint</w:t>
      </w:r>
      <w:r w:rsidRPr="00B91524">
        <w:rPr>
          <w:rFonts w:cs="Arial"/>
          <w:bCs/>
        </w:rPr>
        <w:t xml:space="preserve"> 10)</w:t>
      </w:r>
    </w:p>
    <w:p w14:paraId="77AEF813" w14:textId="289DCF99" w:rsidR="0012508F" w:rsidRPr="00B91524" w:rsidRDefault="003B0DC0" w:rsidP="006B6B93">
      <w:pPr>
        <w:spacing w:before="120" w:line="276" w:lineRule="auto"/>
        <w:rPr>
          <w:rFonts w:cs="Arial"/>
          <w:bCs/>
        </w:rPr>
      </w:pPr>
      <w:r w:rsidRPr="00B91524">
        <w:rPr>
          <w:rFonts w:cs="Arial"/>
          <w:bCs/>
        </w:rPr>
        <w:t xml:space="preserve">Appendix </w:t>
      </w:r>
      <w:r w:rsidR="007443E4" w:rsidRPr="00B91524">
        <w:rPr>
          <w:rFonts w:cs="Arial"/>
          <w:bCs/>
        </w:rPr>
        <w:t>J</w:t>
      </w:r>
      <w:r w:rsidRPr="00B91524">
        <w:rPr>
          <w:rFonts w:cs="Arial"/>
          <w:bCs/>
        </w:rPr>
        <w:t xml:space="preserve"> – Offshore sampling locations (</w:t>
      </w:r>
      <w:r w:rsidR="0012508F" w:rsidRPr="00B91524">
        <w:rPr>
          <w:rFonts w:cs="Arial"/>
          <w:bCs/>
        </w:rPr>
        <w:t>beyond Kilometre Point 10)</w:t>
      </w:r>
    </w:p>
    <w:p w14:paraId="7089E11F" w14:textId="4931EEBB" w:rsidR="00702469" w:rsidRPr="00B91524" w:rsidRDefault="0012508F" w:rsidP="006B6B93">
      <w:pPr>
        <w:spacing w:before="120" w:line="276" w:lineRule="auto"/>
        <w:rPr>
          <w:rFonts w:cs="Arial"/>
          <w:bCs/>
        </w:rPr>
      </w:pPr>
      <w:r w:rsidRPr="00B91524">
        <w:rPr>
          <w:rFonts w:cs="Arial"/>
          <w:bCs/>
        </w:rPr>
        <w:t xml:space="preserve">Appendix </w:t>
      </w:r>
      <w:r w:rsidR="007443E4" w:rsidRPr="00B91524">
        <w:rPr>
          <w:rFonts w:cs="Arial"/>
          <w:bCs/>
        </w:rPr>
        <w:t>K</w:t>
      </w:r>
      <w:r w:rsidRPr="00B91524">
        <w:rPr>
          <w:rFonts w:cs="Arial"/>
          <w:bCs/>
        </w:rPr>
        <w:t xml:space="preserve"> </w:t>
      </w:r>
      <w:r w:rsidR="00705865" w:rsidRPr="00B91524">
        <w:rPr>
          <w:rFonts w:cs="Arial"/>
          <w:bCs/>
        </w:rPr>
        <w:t>–</w:t>
      </w:r>
      <w:r w:rsidRPr="00B91524">
        <w:rPr>
          <w:rFonts w:cs="Arial"/>
          <w:bCs/>
        </w:rPr>
        <w:t xml:space="preserve"> </w:t>
      </w:r>
      <w:proofErr w:type="spellStart"/>
      <w:r w:rsidR="0043714D" w:rsidRPr="00B91524">
        <w:rPr>
          <w:rFonts w:cs="Arial"/>
          <w:bCs/>
        </w:rPr>
        <w:t>Senckenberg</w:t>
      </w:r>
      <w:proofErr w:type="spellEnd"/>
      <w:r w:rsidR="0043714D" w:rsidRPr="00B91524">
        <w:rPr>
          <w:rFonts w:cs="Arial"/>
          <w:bCs/>
        </w:rPr>
        <w:t xml:space="preserve"> Research Institute (SRI) </w:t>
      </w:r>
      <w:r w:rsidR="00F25600" w:rsidRPr="00B91524">
        <w:rPr>
          <w:rFonts w:cs="Arial"/>
          <w:bCs/>
        </w:rPr>
        <w:t xml:space="preserve">long-term and REWIND </w:t>
      </w:r>
      <w:r w:rsidR="0043714D" w:rsidRPr="00B91524">
        <w:rPr>
          <w:rFonts w:cs="Arial"/>
          <w:bCs/>
        </w:rPr>
        <w:t xml:space="preserve">sampling </w:t>
      </w:r>
      <w:r w:rsidR="00F25600" w:rsidRPr="00B91524">
        <w:rPr>
          <w:rFonts w:cs="Arial"/>
          <w:bCs/>
        </w:rPr>
        <w:t>design</w:t>
      </w:r>
    </w:p>
    <w:p w14:paraId="299678E6" w14:textId="1BA06715" w:rsidR="0042516E" w:rsidRPr="00B91524" w:rsidRDefault="00702469" w:rsidP="006B6B93">
      <w:pPr>
        <w:spacing w:before="120" w:line="276" w:lineRule="auto"/>
        <w:rPr>
          <w:rFonts w:cs="Arial"/>
          <w:bCs/>
        </w:rPr>
      </w:pPr>
      <w:r w:rsidRPr="00B91524">
        <w:rPr>
          <w:rFonts w:cs="Arial"/>
          <w:bCs/>
        </w:rPr>
        <w:t xml:space="preserve">Appendix </w:t>
      </w:r>
      <w:r w:rsidR="007443E4" w:rsidRPr="00B91524">
        <w:rPr>
          <w:rFonts w:cs="Arial"/>
          <w:bCs/>
        </w:rPr>
        <w:t>L</w:t>
      </w:r>
      <w:r w:rsidRPr="00B91524">
        <w:rPr>
          <w:rFonts w:cs="Arial"/>
          <w:bCs/>
        </w:rPr>
        <w:t xml:space="preserve"> </w:t>
      </w:r>
      <w:r w:rsidR="005B2BC4" w:rsidRPr="00B91524">
        <w:rPr>
          <w:rFonts w:cs="Arial"/>
          <w:bCs/>
        </w:rPr>
        <w:t>–</w:t>
      </w:r>
      <w:r w:rsidRPr="00B91524">
        <w:rPr>
          <w:rFonts w:cs="Arial"/>
          <w:bCs/>
        </w:rPr>
        <w:t xml:space="preserve"> </w:t>
      </w:r>
      <w:r w:rsidR="005B2BC4" w:rsidRPr="00B91524">
        <w:rPr>
          <w:rFonts w:cs="Arial"/>
          <w:bCs/>
        </w:rPr>
        <w:t xml:space="preserve">Predictive </w:t>
      </w:r>
      <w:r w:rsidR="00003071" w:rsidRPr="00B91524">
        <w:rPr>
          <w:rFonts w:cs="Arial"/>
          <w:bCs/>
        </w:rPr>
        <w:t>m</w:t>
      </w:r>
      <w:r w:rsidR="005B2BC4" w:rsidRPr="00B91524">
        <w:rPr>
          <w:rFonts w:cs="Arial"/>
          <w:bCs/>
        </w:rPr>
        <w:t xml:space="preserve">odelling </w:t>
      </w:r>
      <w:r w:rsidR="00003071" w:rsidRPr="00B91524">
        <w:rPr>
          <w:rFonts w:cs="Arial"/>
          <w:bCs/>
        </w:rPr>
        <w:t>r</w:t>
      </w:r>
      <w:r w:rsidR="005B2BC4" w:rsidRPr="00B91524">
        <w:rPr>
          <w:rFonts w:cs="Arial"/>
          <w:bCs/>
        </w:rPr>
        <w:t>eport (provided under separate cover)</w:t>
      </w:r>
      <w:r w:rsidR="00E5554C" w:rsidRPr="00B91524">
        <w:rPr>
          <w:rFonts w:cs="Arial"/>
          <w:bCs/>
        </w:rPr>
        <w:br w:type="page"/>
      </w:r>
    </w:p>
    <w:p w14:paraId="0CA8DAB6" w14:textId="3A89BE09" w:rsidR="00B15DEA" w:rsidRPr="00B91524" w:rsidRDefault="00962F37" w:rsidP="00F570A9">
      <w:pPr>
        <w:pStyle w:val="Heading1"/>
      </w:pPr>
      <w:bookmarkStart w:id="0" w:name="_Toc74670310"/>
      <w:r w:rsidRPr="00B91524">
        <w:lastRenderedPageBreak/>
        <w:t>Overview</w:t>
      </w:r>
      <w:bookmarkEnd w:id="0"/>
    </w:p>
    <w:p w14:paraId="44DB32B6" w14:textId="77777777" w:rsidR="002A09C4" w:rsidRPr="00B91524" w:rsidRDefault="00962F37" w:rsidP="006A7072">
      <w:pPr>
        <w:pStyle w:val="Heading2"/>
      </w:pPr>
      <w:bookmarkStart w:id="1" w:name="_Toc74670311"/>
      <w:r w:rsidRPr="00B91524">
        <w:t>Introduction</w:t>
      </w:r>
      <w:bookmarkEnd w:id="1"/>
    </w:p>
    <w:p w14:paraId="7BF7DC55" w14:textId="205E8627" w:rsidR="00C17F2F" w:rsidRPr="00B91524" w:rsidRDefault="00C17F2F" w:rsidP="007908D8">
      <w:pPr>
        <w:pStyle w:val="Reportbodytextnumbering"/>
      </w:pPr>
      <w:r w:rsidRPr="00B91524">
        <w:t xml:space="preserve">Sofia Offshore Wind Farm ("SOWF") </w:t>
      </w:r>
      <w:r w:rsidR="000F799B" w:rsidRPr="00B91524">
        <w:rPr>
          <w:noProof/>
        </w:rPr>
        <w:t xml:space="preserve">is located approximately </w:t>
      </w:r>
      <w:r w:rsidR="000F799B" w:rsidRPr="00B91524">
        <w:t>165</w:t>
      </w:r>
      <w:r w:rsidR="000F799B" w:rsidRPr="00B91524">
        <w:rPr>
          <w:noProof/>
        </w:rPr>
        <w:t xml:space="preserve"> km offshore on the shallow central area of the North Sea known as the Dogger Bank with the export cable landfall in an area between Redcar and Marske-by-the-Sea</w:t>
      </w:r>
      <w:r w:rsidR="00D300AA" w:rsidRPr="00B91524">
        <w:rPr>
          <w:noProof/>
        </w:rPr>
        <w:t>.</w:t>
      </w:r>
      <w:r w:rsidR="000F799B" w:rsidRPr="00B91524">
        <w:rPr>
          <w:noProof/>
        </w:rPr>
        <w:t>.</w:t>
      </w:r>
      <w:r w:rsidRPr="00B91524">
        <w:rPr>
          <w:noProof/>
        </w:rPr>
        <w:t xml:space="preserve"> </w:t>
      </w:r>
      <w:r w:rsidRPr="00B91524">
        <w:t xml:space="preserve">SOWF was developed and consented by the </w:t>
      </w:r>
      <w:proofErr w:type="spellStart"/>
      <w:r w:rsidRPr="00B91524">
        <w:t>Forewind</w:t>
      </w:r>
      <w:proofErr w:type="spellEnd"/>
      <w:r w:rsidRPr="00B91524">
        <w:t xml:space="preserve"> Limited Consortium and previously known as Dogger Bank Teesside B ("Teesside B"). The Dogger Bank Teesside A and B Offshore Wind Farm Order 2015 ("the DCO") was granted on 4th August 2015 and came into force on the 26th August 2015. The </w:t>
      </w:r>
      <w:r w:rsidR="00372278" w:rsidRPr="00B91524">
        <w:t>Development Consent Order (</w:t>
      </w:r>
      <w:r w:rsidRPr="00B91524">
        <w:t>DCO</w:t>
      </w:r>
      <w:r w:rsidR="00372278" w:rsidRPr="00B91524">
        <w:t>)</w:t>
      </w:r>
      <w:r w:rsidRPr="00B91524">
        <w:t xml:space="preserve"> was amended in 2019. The </w:t>
      </w:r>
      <w:proofErr w:type="spellStart"/>
      <w:r w:rsidRPr="00B91524">
        <w:t>Forewind</w:t>
      </w:r>
      <w:proofErr w:type="spellEnd"/>
      <w:r w:rsidRPr="00B91524">
        <w:t xml:space="preserve"> Limited consortium disbanded and since August 2017, Innogy Renewables UK Limited ("</w:t>
      </w:r>
      <w:proofErr w:type="spellStart"/>
      <w:r w:rsidRPr="00B91524">
        <w:t>innogy</w:t>
      </w:r>
      <w:proofErr w:type="spellEnd"/>
      <w:r w:rsidRPr="00B91524">
        <w:t xml:space="preserve">") has held 100% ownership of SOWF under a new subsidiary, Sofia Offshore Wind Farm Limited ("SOWFL"). </w:t>
      </w:r>
      <w:r w:rsidR="00084637" w:rsidRPr="00B91524">
        <w:t xml:space="preserve"> On 30 June 2020, </w:t>
      </w:r>
      <w:proofErr w:type="spellStart"/>
      <w:r w:rsidR="00084637" w:rsidRPr="00B91524">
        <w:t>innogy</w:t>
      </w:r>
      <w:proofErr w:type="spellEnd"/>
      <w:r w:rsidR="00084637" w:rsidRPr="00B91524">
        <w:t xml:space="preserve">, and </w:t>
      </w:r>
      <w:r w:rsidR="00F51211" w:rsidRPr="00B91524">
        <w:t>its</w:t>
      </w:r>
      <w:r w:rsidR="00084637" w:rsidRPr="00B91524">
        <w:t xml:space="preserve"> subsidiary SOWFL, transferred to become part of RWE.</w:t>
      </w:r>
    </w:p>
    <w:p w14:paraId="2D080808" w14:textId="2DD0CDE8" w:rsidR="00D12E0A" w:rsidRPr="00B91524" w:rsidRDefault="00D12E0A" w:rsidP="00D12E0A">
      <w:pPr>
        <w:pStyle w:val="Heading2"/>
      </w:pPr>
      <w:bookmarkStart w:id="2" w:name="_Toc74670312"/>
      <w:r w:rsidRPr="00B91524">
        <w:t xml:space="preserve">Purpose and Scope of </w:t>
      </w:r>
      <w:r w:rsidR="004C0186" w:rsidRPr="00B91524">
        <w:t>Document</w:t>
      </w:r>
      <w:bookmarkEnd w:id="2"/>
    </w:p>
    <w:p w14:paraId="1DDC2CFB" w14:textId="77777777" w:rsidR="001A7328" w:rsidRPr="00B91524" w:rsidRDefault="00C17F2F" w:rsidP="001A7328">
      <w:pPr>
        <w:pStyle w:val="Reportbodytextnumbering"/>
      </w:pPr>
      <w:r w:rsidRPr="00B91524">
        <w:t xml:space="preserve">This document forms part of a suite of documents that will be produced under the requirements set out within </w:t>
      </w:r>
      <w:bookmarkStart w:id="3" w:name="_Hlk50531847"/>
      <w:r w:rsidRPr="00B91524">
        <w:t xml:space="preserve">Condition 16 of Schedule 9 (Deemed Marine </w:t>
      </w:r>
      <w:proofErr w:type="spellStart"/>
      <w:r w:rsidRPr="00B91524">
        <w:t>Licence</w:t>
      </w:r>
      <w:proofErr w:type="spellEnd"/>
      <w:r w:rsidRPr="00B91524">
        <w:t xml:space="preserve"> (“</w:t>
      </w:r>
      <w:proofErr w:type="spellStart"/>
      <w:r w:rsidRPr="00B91524">
        <w:t>dML</w:t>
      </w:r>
      <w:proofErr w:type="spellEnd"/>
      <w:r w:rsidRPr="00B91524">
        <w:t xml:space="preserve">”) 2: Project B (SOWF) Offshore Generation - Work Nos. 1B and 2T) (Variation No. 2, April 2019) and Condition 14 of Schedule 11 </w:t>
      </w:r>
      <w:proofErr w:type="spellStart"/>
      <w:r w:rsidRPr="00B91524">
        <w:t>dML</w:t>
      </w:r>
      <w:proofErr w:type="spellEnd"/>
      <w:r w:rsidRPr="00B91524">
        <w:t xml:space="preserve"> 4: Project B (SOWF) Offshore Transmission – Works Nos. 2B, 3B and 2T (Variation No. 2, April 2019). These Conditions </w:t>
      </w:r>
      <w:r w:rsidRPr="00B91524">
        <w:rPr>
          <w:lang w:val="en-GB"/>
        </w:rPr>
        <w:t>require</w:t>
      </w:r>
      <w:r w:rsidRPr="00B91524">
        <w:t xml:space="preserve"> Pre-Construction Plans and Documents to be submitted and approved by the Marine Management </w:t>
      </w:r>
      <w:proofErr w:type="spellStart"/>
      <w:r w:rsidRPr="00B91524">
        <w:rPr>
          <w:lang w:val="en-GB"/>
        </w:rPr>
        <w:t>Organisati</w:t>
      </w:r>
      <w:proofErr w:type="spellEnd"/>
      <w:r w:rsidRPr="00B91524">
        <w:t>on (“MMO”) where relevant in consultation with statutory and non-statutory advisors</w:t>
      </w:r>
      <w:bookmarkEnd w:id="3"/>
      <w:r w:rsidRPr="00B91524">
        <w:t xml:space="preserve">. </w:t>
      </w:r>
      <w:r w:rsidR="001A7328" w:rsidRPr="00B91524">
        <w:t xml:space="preserve">The </w:t>
      </w:r>
      <w:proofErr w:type="spellStart"/>
      <w:r w:rsidR="001A7328" w:rsidRPr="00B91524">
        <w:t>dMLs</w:t>
      </w:r>
      <w:proofErr w:type="spellEnd"/>
      <w:r w:rsidR="001A7328" w:rsidRPr="00B91524">
        <w:t xml:space="preserve"> were varied by the MMO in 2020 (Variation No. 3, September 2020) following the conclusion of the Southern North Sea Special Area of Conservation Review of Consents but no changes to the requirements for benthic monitoring were made to the consents.</w:t>
      </w:r>
    </w:p>
    <w:p w14:paraId="7EA08875" w14:textId="6F5384A0" w:rsidR="00C17F2F" w:rsidRPr="00B91524" w:rsidRDefault="00C17F2F" w:rsidP="007908D8">
      <w:pPr>
        <w:pStyle w:val="Reportbodytextnumbering"/>
      </w:pPr>
      <w:r w:rsidRPr="00B91524">
        <w:t xml:space="preserve">This document has been drafted to address the requirements of the DCO </w:t>
      </w:r>
      <w:proofErr w:type="spellStart"/>
      <w:r w:rsidRPr="00B91524">
        <w:t>dML</w:t>
      </w:r>
      <w:proofErr w:type="spellEnd"/>
      <w:r w:rsidRPr="00B91524">
        <w:t xml:space="preserve">, insofar as is relevant to the preparation of the benthic monitoring component of the Detailed Construction Monitoring </w:t>
      </w:r>
      <w:proofErr w:type="spellStart"/>
      <w:r w:rsidRPr="00B91524">
        <w:t>Programme</w:t>
      </w:r>
      <w:proofErr w:type="spellEnd"/>
      <w:r w:rsidRPr="00B91524">
        <w:t xml:space="preserve"> for SOWF under Condition 16(b) of </w:t>
      </w:r>
      <w:proofErr w:type="spellStart"/>
      <w:r w:rsidRPr="00B91524">
        <w:t>dML</w:t>
      </w:r>
      <w:proofErr w:type="spellEnd"/>
      <w:r w:rsidRPr="00B91524">
        <w:t xml:space="preserve"> Schedule 9 (as varied in April 2019) and Condition 14(b) of </w:t>
      </w:r>
      <w:proofErr w:type="spellStart"/>
      <w:r w:rsidRPr="00B91524">
        <w:t>dML</w:t>
      </w:r>
      <w:proofErr w:type="spellEnd"/>
      <w:r w:rsidRPr="00B91524">
        <w:t xml:space="preserve"> Schedule 11 (as varied in April 2019). The specific requirements for benthic monitoring are set out within Conditions 21 and 23 of </w:t>
      </w:r>
      <w:proofErr w:type="spellStart"/>
      <w:r w:rsidRPr="00B91524">
        <w:t>dML</w:t>
      </w:r>
      <w:proofErr w:type="spellEnd"/>
      <w:r w:rsidRPr="00B91524">
        <w:t xml:space="preserve"> Schedule 9 (Variation No. 2, April 2019) and Conditions 19 and 21 of </w:t>
      </w:r>
      <w:proofErr w:type="spellStart"/>
      <w:r w:rsidRPr="00B91524">
        <w:t>dML</w:t>
      </w:r>
      <w:proofErr w:type="spellEnd"/>
      <w:r w:rsidRPr="00B91524">
        <w:t xml:space="preserve"> Schedule 11 (Variation No. 2, April 2019). Section </w:t>
      </w:r>
      <w:r w:rsidR="005C21C7" w:rsidRPr="00B91524">
        <w:fldChar w:fldCharType="begin"/>
      </w:r>
      <w:r w:rsidR="005C21C7" w:rsidRPr="00B91524">
        <w:instrText xml:space="preserve"> REF _Ref46089056 \r \h </w:instrText>
      </w:r>
      <w:r w:rsidR="00A51E4B" w:rsidRPr="00B91524">
        <w:instrText xml:space="preserve"> \* MERGEFORMAT </w:instrText>
      </w:r>
      <w:r w:rsidR="005C21C7" w:rsidRPr="00B91524">
        <w:fldChar w:fldCharType="separate"/>
      </w:r>
      <w:r w:rsidR="00683595">
        <w:t>1.3</w:t>
      </w:r>
      <w:r w:rsidR="005C21C7" w:rsidRPr="00B91524">
        <w:fldChar w:fldCharType="end"/>
      </w:r>
      <w:r w:rsidRPr="00B91524">
        <w:t xml:space="preserve"> details the legislative context for the Benthic Monitoring Plan (BMP).</w:t>
      </w:r>
    </w:p>
    <w:p w14:paraId="6686EC12" w14:textId="503BECE4" w:rsidR="00E14BD6" w:rsidRPr="00B91524" w:rsidRDefault="00D12E0A" w:rsidP="007908D8">
      <w:pPr>
        <w:pStyle w:val="Reportbodytextnumbering"/>
      </w:pPr>
      <w:r w:rsidRPr="00B91524">
        <w:t>The purpose of this</w:t>
      </w:r>
      <w:r w:rsidR="00484D6C" w:rsidRPr="00B91524">
        <w:t xml:space="preserve"> </w:t>
      </w:r>
      <w:r w:rsidRPr="00B91524">
        <w:t>document is to</w:t>
      </w:r>
      <w:r w:rsidR="00E14BD6" w:rsidRPr="00B91524">
        <w:t xml:space="preserve">: </w:t>
      </w:r>
    </w:p>
    <w:p w14:paraId="70B42BE3" w14:textId="65095DCA" w:rsidR="00E14BD6" w:rsidRPr="00B91524" w:rsidRDefault="00C3111A" w:rsidP="00E46C8A">
      <w:pPr>
        <w:pStyle w:val="Bullet"/>
        <w:jc w:val="both"/>
      </w:pPr>
      <w:r w:rsidRPr="00B91524">
        <w:t>Provide a</w:t>
      </w:r>
      <w:r w:rsidR="00E14BD6" w:rsidRPr="00B91524">
        <w:t xml:space="preserve"> </w:t>
      </w:r>
      <w:r w:rsidR="002352D0" w:rsidRPr="00B91524">
        <w:t xml:space="preserve">clear </w:t>
      </w:r>
      <w:r w:rsidR="00AF79FA" w:rsidRPr="00B91524">
        <w:t xml:space="preserve">rationale for </w:t>
      </w:r>
      <w:r w:rsidR="00484D6C" w:rsidRPr="00B91524">
        <w:t xml:space="preserve">the </w:t>
      </w:r>
      <w:r w:rsidR="00F7401C" w:rsidRPr="00B91524">
        <w:t xml:space="preserve">approach taken in </w:t>
      </w:r>
      <w:r w:rsidR="00484D6C" w:rsidRPr="00B91524">
        <w:t>develop</w:t>
      </w:r>
      <w:r w:rsidR="00F7401C" w:rsidRPr="00B91524">
        <w:t xml:space="preserve">ing </w:t>
      </w:r>
      <w:r w:rsidR="00484D6C" w:rsidRPr="00B91524">
        <w:t xml:space="preserve">the </w:t>
      </w:r>
      <w:r w:rsidR="00D12E0A" w:rsidRPr="00B91524">
        <w:t>BM</w:t>
      </w:r>
      <w:r w:rsidR="00E82119" w:rsidRPr="00B91524">
        <w:t xml:space="preserve">P (Section </w:t>
      </w:r>
      <w:r w:rsidR="005C21C7" w:rsidRPr="00B91524">
        <w:fldChar w:fldCharType="begin"/>
      </w:r>
      <w:r w:rsidR="005C21C7" w:rsidRPr="00B91524">
        <w:instrText xml:space="preserve"> REF _Ref46089080 \r \h </w:instrText>
      </w:r>
      <w:r w:rsidR="00A51E4B" w:rsidRPr="00B91524">
        <w:instrText xml:space="preserve"> \* MERGEFORMAT </w:instrText>
      </w:r>
      <w:r w:rsidR="005C21C7" w:rsidRPr="00B91524">
        <w:fldChar w:fldCharType="separate"/>
      </w:r>
      <w:r w:rsidR="00683595">
        <w:t>2</w:t>
      </w:r>
      <w:r w:rsidR="005C21C7" w:rsidRPr="00B91524">
        <w:fldChar w:fldCharType="end"/>
      </w:r>
      <w:r w:rsidR="00E82119" w:rsidRPr="00B91524">
        <w:t>);</w:t>
      </w:r>
      <w:r w:rsidR="00484D6C" w:rsidRPr="00B91524">
        <w:t xml:space="preserve"> </w:t>
      </w:r>
    </w:p>
    <w:p w14:paraId="3B3A63E9" w14:textId="044802C2" w:rsidR="00E82119" w:rsidRPr="00B91524" w:rsidRDefault="00E14BD6" w:rsidP="00E46C8A">
      <w:pPr>
        <w:pStyle w:val="Bullet"/>
        <w:jc w:val="both"/>
      </w:pPr>
      <w:r w:rsidRPr="00B91524">
        <w:t xml:space="preserve">Define the </w:t>
      </w:r>
      <w:r w:rsidR="00E82119" w:rsidRPr="00B91524">
        <w:t>o</w:t>
      </w:r>
      <w:r w:rsidR="00484D6C" w:rsidRPr="00B91524">
        <w:t xml:space="preserve">bjectives for </w:t>
      </w:r>
      <w:r w:rsidR="00E82119" w:rsidRPr="00B91524">
        <w:t xml:space="preserve">the </w:t>
      </w:r>
      <w:r w:rsidR="00484D6C" w:rsidRPr="00B91524">
        <w:t>benthic monitoring</w:t>
      </w:r>
      <w:r w:rsidR="00E5215C" w:rsidRPr="00B91524">
        <w:t xml:space="preserve"> to be undertaken</w:t>
      </w:r>
      <w:r w:rsidR="00E46C8A" w:rsidRPr="00B91524">
        <w:t xml:space="preserve"> (Sections </w:t>
      </w:r>
      <w:r w:rsidR="005C21C7" w:rsidRPr="00B91524">
        <w:fldChar w:fldCharType="begin"/>
      </w:r>
      <w:r w:rsidR="005C21C7" w:rsidRPr="00B91524">
        <w:instrText xml:space="preserve"> REF _Ref46089103 \r \h </w:instrText>
      </w:r>
      <w:r w:rsidR="00A51E4B" w:rsidRPr="00B91524">
        <w:instrText xml:space="preserve"> \* MERGEFORMAT </w:instrText>
      </w:r>
      <w:r w:rsidR="005C21C7" w:rsidRPr="00B91524">
        <w:fldChar w:fldCharType="separate"/>
      </w:r>
      <w:r w:rsidR="00683595">
        <w:t>4</w:t>
      </w:r>
      <w:r w:rsidR="005C21C7" w:rsidRPr="00B91524">
        <w:fldChar w:fldCharType="end"/>
      </w:r>
      <w:r w:rsidR="00E46C8A" w:rsidRPr="00B91524">
        <w:t>)</w:t>
      </w:r>
      <w:r w:rsidR="00E82119" w:rsidRPr="00B91524">
        <w:t xml:space="preserve">; </w:t>
      </w:r>
    </w:p>
    <w:p w14:paraId="2D9E7300" w14:textId="30F5C16F" w:rsidR="003A36A6" w:rsidRPr="00B91524" w:rsidRDefault="003A36A6" w:rsidP="00E46C8A">
      <w:pPr>
        <w:pStyle w:val="Bullet"/>
        <w:jc w:val="both"/>
      </w:pPr>
      <w:r w:rsidRPr="00B91524">
        <w:t xml:space="preserve">Set out the approaches to be used to monitor key benthic habitats </w:t>
      </w:r>
      <w:r w:rsidR="00E46C8A" w:rsidRPr="00B91524">
        <w:t>(Sectio</w:t>
      </w:r>
      <w:r w:rsidR="005C21C7" w:rsidRPr="00B91524">
        <w:t xml:space="preserve">n </w:t>
      </w:r>
      <w:r w:rsidR="005C21C7" w:rsidRPr="00B91524">
        <w:fldChar w:fldCharType="begin"/>
      </w:r>
      <w:r w:rsidR="005C21C7" w:rsidRPr="00B91524">
        <w:instrText xml:space="preserve"> REF _Ref46089133 \r \h </w:instrText>
      </w:r>
      <w:r w:rsidR="00A51E4B" w:rsidRPr="00B91524">
        <w:instrText xml:space="preserve"> \* MERGEFORMAT </w:instrText>
      </w:r>
      <w:r w:rsidR="005C21C7" w:rsidRPr="00B91524">
        <w:fldChar w:fldCharType="separate"/>
      </w:r>
      <w:r w:rsidR="00683595">
        <w:t>4</w:t>
      </w:r>
      <w:r w:rsidR="005C21C7" w:rsidRPr="00B91524">
        <w:fldChar w:fldCharType="end"/>
      </w:r>
      <w:r w:rsidR="00E46C8A" w:rsidRPr="00B91524">
        <w:t>);</w:t>
      </w:r>
    </w:p>
    <w:p w14:paraId="6D3D82F6" w14:textId="3349C173" w:rsidR="003A36A6" w:rsidRPr="00B91524" w:rsidRDefault="003A36A6" w:rsidP="00E46C8A">
      <w:pPr>
        <w:pStyle w:val="Bullet"/>
        <w:jc w:val="both"/>
      </w:pPr>
      <w:r w:rsidRPr="00B91524">
        <w:t>Set out the structure and format for reporting of the benthic monitoring surveys</w:t>
      </w:r>
      <w:r w:rsidR="00E46C8A" w:rsidRPr="00B91524">
        <w:t xml:space="preserve"> (</w:t>
      </w:r>
      <w:r w:rsidR="005C21C7" w:rsidRPr="00B91524">
        <w:fldChar w:fldCharType="begin"/>
      </w:r>
      <w:r w:rsidR="005C21C7" w:rsidRPr="00B91524">
        <w:instrText xml:space="preserve"> REF _Ref46089180 \r \h </w:instrText>
      </w:r>
      <w:r w:rsidR="00A51E4B" w:rsidRPr="00B91524">
        <w:instrText xml:space="preserve"> \* MERGEFORMAT </w:instrText>
      </w:r>
      <w:r w:rsidR="005C21C7" w:rsidRPr="00B91524">
        <w:fldChar w:fldCharType="separate"/>
      </w:r>
      <w:r w:rsidR="00683595">
        <w:t>4.6</w:t>
      </w:r>
      <w:r w:rsidR="005C21C7" w:rsidRPr="00B91524">
        <w:fldChar w:fldCharType="end"/>
      </w:r>
      <w:r w:rsidR="00E46C8A" w:rsidRPr="00B91524">
        <w:t>); and</w:t>
      </w:r>
    </w:p>
    <w:p w14:paraId="5DE12348" w14:textId="22E37117" w:rsidR="003A36A6" w:rsidRPr="00B91524" w:rsidRDefault="003A36A6" w:rsidP="00E46C8A">
      <w:pPr>
        <w:pStyle w:val="Bullet"/>
        <w:jc w:val="both"/>
      </w:pPr>
      <w:r w:rsidRPr="00B91524">
        <w:t xml:space="preserve">Set out the programme </w:t>
      </w:r>
      <w:r w:rsidR="00E46C8A" w:rsidRPr="00B91524">
        <w:t>for the</w:t>
      </w:r>
      <w:r w:rsidRPr="00B91524">
        <w:t xml:space="preserve"> </w:t>
      </w:r>
      <w:r w:rsidR="00E46C8A" w:rsidRPr="00B91524">
        <w:t xml:space="preserve">benthic </w:t>
      </w:r>
      <w:r w:rsidRPr="00B91524">
        <w:t>monitoring surveys and reporting</w:t>
      </w:r>
      <w:r w:rsidR="00E46C8A" w:rsidRPr="00B91524">
        <w:t xml:space="preserve"> (</w:t>
      </w:r>
      <w:r w:rsidR="005C21C7" w:rsidRPr="00B91524">
        <w:t xml:space="preserve">Section </w:t>
      </w:r>
      <w:r w:rsidR="005C21C7" w:rsidRPr="00B91524">
        <w:fldChar w:fldCharType="begin"/>
      </w:r>
      <w:r w:rsidR="005C21C7" w:rsidRPr="00B91524">
        <w:instrText xml:space="preserve"> REF _Ref46089198 \r \h </w:instrText>
      </w:r>
      <w:r w:rsidR="00A51E4B" w:rsidRPr="00B91524">
        <w:instrText xml:space="preserve"> \* MERGEFORMAT </w:instrText>
      </w:r>
      <w:r w:rsidR="005C21C7" w:rsidRPr="00B91524">
        <w:fldChar w:fldCharType="separate"/>
      </w:r>
      <w:r w:rsidR="00683595">
        <w:t>4</w:t>
      </w:r>
      <w:r w:rsidR="005C21C7" w:rsidRPr="00B91524">
        <w:fldChar w:fldCharType="end"/>
      </w:r>
      <w:r w:rsidR="00E46C8A" w:rsidRPr="00B91524">
        <w:t>);</w:t>
      </w:r>
    </w:p>
    <w:p w14:paraId="2A407EF9" w14:textId="77777777" w:rsidR="005C076B" w:rsidRPr="00B91524" w:rsidRDefault="00341A39" w:rsidP="007908D8">
      <w:pPr>
        <w:pStyle w:val="Reportbodytextnumbering"/>
      </w:pPr>
      <w:r w:rsidRPr="00B91524">
        <w:t xml:space="preserve">The </w:t>
      </w:r>
      <w:r w:rsidR="000D0F54" w:rsidRPr="00B91524">
        <w:t>monitoring o</w:t>
      </w:r>
      <w:r w:rsidRPr="00B91524">
        <w:t xml:space="preserve">bjectives </w:t>
      </w:r>
      <w:r w:rsidR="004E2662" w:rsidRPr="00B91524">
        <w:t xml:space="preserve">and </w:t>
      </w:r>
      <w:r w:rsidR="002352D0" w:rsidRPr="00B91524">
        <w:t>proposed</w:t>
      </w:r>
      <w:r w:rsidR="004E2662" w:rsidRPr="00B91524">
        <w:t xml:space="preserve"> surveys </w:t>
      </w:r>
      <w:r w:rsidRPr="00B91524">
        <w:t xml:space="preserve">have been defined based on a focused approach to benthic monitoring </w:t>
      </w:r>
      <w:r w:rsidR="005C076B" w:rsidRPr="00B91524">
        <w:t xml:space="preserve">in consideration of the following: </w:t>
      </w:r>
    </w:p>
    <w:p w14:paraId="730D58D6" w14:textId="77433C1D" w:rsidR="005C076B" w:rsidRPr="00B91524" w:rsidRDefault="005C076B" w:rsidP="005C076B">
      <w:pPr>
        <w:pStyle w:val="Bullet"/>
        <w:jc w:val="both"/>
      </w:pPr>
      <w:r w:rsidRPr="00B91524">
        <w:lastRenderedPageBreak/>
        <w:t>T</w:t>
      </w:r>
      <w:r w:rsidR="00D12E0A" w:rsidRPr="00B91524">
        <w:t xml:space="preserve">he </w:t>
      </w:r>
      <w:r w:rsidR="006510EA" w:rsidRPr="00B91524">
        <w:t>Dogger Bank Teesside A and B Deadline IX Appendix 4 Offshore In Principle Monitoring Plan (“IPMP”) (</w:t>
      </w:r>
      <w:proofErr w:type="spellStart"/>
      <w:r w:rsidR="006510EA" w:rsidRPr="00B91524">
        <w:t>Forewind</w:t>
      </w:r>
      <w:proofErr w:type="spellEnd"/>
      <w:r w:rsidR="006510EA" w:rsidRPr="00B91524">
        <w:t xml:space="preserve">, 2015) </w:t>
      </w:r>
      <w:r w:rsidR="00203C58" w:rsidRPr="00B91524">
        <w:t xml:space="preserve">relevant guiding principles </w:t>
      </w:r>
      <w:r w:rsidR="00F51211" w:rsidRPr="00B91524">
        <w:t xml:space="preserve">(see Section </w:t>
      </w:r>
      <w:r w:rsidR="00F51211" w:rsidRPr="00B91524">
        <w:fldChar w:fldCharType="begin"/>
      </w:r>
      <w:r w:rsidR="00F51211" w:rsidRPr="00B91524">
        <w:instrText xml:space="preserve"> REF _Ref46089230 \r \h  \* MERGEFORMAT </w:instrText>
      </w:r>
      <w:r w:rsidR="00F51211" w:rsidRPr="00B91524">
        <w:fldChar w:fldCharType="separate"/>
      </w:r>
      <w:r w:rsidR="00683595">
        <w:t>1.4</w:t>
      </w:r>
      <w:r w:rsidR="00F51211" w:rsidRPr="00B91524">
        <w:fldChar w:fldCharType="end"/>
      </w:r>
      <w:r w:rsidR="00F51211" w:rsidRPr="00B91524">
        <w:t>)</w:t>
      </w:r>
      <w:r w:rsidR="001B2400" w:rsidRPr="00B91524">
        <w:t>;</w:t>
      </w:r>
    </w:p>
    <w:p w14:paraId="360593D2" w14:textId="1035FB51" w:rsidR="005C076B" w:rsidRPr="00B91524" w:rsidRDefault="005C076B" w:rsidP="005C076B">
      <w:pPr>
        <w:pStyle w:val="Bullet"/>
        <w:jc w:val="both"/>
      </w:pPr>
      <w:r w:rsidRPr="00B91524">
        <w:t xml:space="preserve">The </w:t>
      </w:r>
      <w:r w:rsidR="00C91BEA" w:rsidRPr="00B91524">
        <w:t xml:space="preserve">requirements of the </w:t>
      </w:r>
      <w:proofErr w:type="spellStart"/>
      <w:r w:rsidR="00C91BEA" w:rsidRPr="00B91524">
        <w:t>dML</w:t>
      </w:r>
      <w:proofErr w:type="spellEnd"/>
      <w:r w:rsidR="00F812A5" w:rsidRPr="00B91524">
        <w:t xml:space="preserve"> </w:t>
      </w:r>
      <w:r w:rsidR="00C57E95" w:rsidRPr="00B91524">
        <w:t>(</w:t>
      </w:r>
      <w:r w:rsidR="005267F5" w:rsidRPr="00B91524">
        <w:fldChar w:fldCharType="begin"/>
      </w:r>
      <w:r w:rsidR="005267F5" w:rsidRPr="00B91524">
        <w:instrText xml:space="preserve"> REF _Ref46056442 \h </w:instrText>
      </w:r>
      <w:r w:rsidR="000A4EA6" w:rsidRPr="00B91524">
        <w:instrText xml:space="preserve"> \* MERGEFORMAT </w:instrText>
      </w:r>
      <w:r w:rsidR="005267F5" w:rsidRPr="00B91524">
        <w:fldChar w:fldCharType="separate"/>
      </w:r>
      <w:r w:rsidR="00683595" w:rsidRPr="00B91524">
        <w:t xml:space="preserve">Table </w:t>
      </w:r>
      <w:r w:rsidR="00683595">
        <w:t>1</w:t>
      </w:r>
      <w:r w:rsidR="00683595" w:rsidRPr="00B91524">
        <w:noBreakHyphen/>
      </w:r>
      <w:r w:rsidR="00683595">
        <w:t>1</w:t>
      </w:r>
      <w:r w:rsidR="005267F5" w:rsidRPr="00B91524">
        <w:fldChar w:fldCharType="end"/>
      </w:r>
      <w:r w:rsidR="00372278" w:rsidRPr="00B91524">
        <w:t xml:space="preserve"> and</w:t>
      </w:r>
      <w:r w:rsidR="005267F5" w:rsidRPr="00B91524">
        <w:t xml:space="preserve"> </w:t>
      </w:r>
      <w:r w:rsidR="005267F5" w:rsidRPr="00B91524">
        <w:fldChar w:fldCharType="begin"/>
      </w:r>
      <w:r w:rsidR="005267F5" w:rsidRPr="00B91524">
        <w:instrText xml:space="preserve"> REF _Ref46056452 \h </w:instrText>
      </w:r>
      <w:r w:rsidR="000A4EA6" w:rsidRPr="00B91524">
        <w:instrText xml:space="preserve"> \* MERGEFORMAT </w:instrText>
      </w:r>
      <w:r w:rsidR="005267F5" w:rsidRPr="00B91524">
        <w:fldChar w:fldCharType="separate"/>
      </w:r>
      <w:r w:rsidR="00683595" w:rsidRPr="00B91524">
        <w:t xml:space="preserve">Table </w:t>
      </w:r>
      <w:r w:rsidR="00683595">
        <w:t>1</w:t>
      </w:r>
      <w:r w:rsidR="00683595" w:rsidRPr="00B91524">
        <w:noBreakHyphen/>
      </w:r>
      <w:r w:rsidR="00683595">
        <w:t>2</w:t>
      </w:r>
      <w:r w:rsidR="005267F5" w:rsidRPr="00B91524">
        <w:fldChar w:fldCharType="end"/>
      </w:r>
      <w:r w:rsidR="00C57E95" w:rsidRPr="00B91524">
        <w:t>)</w:t>
      </w:r>
      <w:r w:rsidR="001B2400" w:rsidRPr="00B91524">
        <w:t>;</w:t>
      </w:r>
    </w:p>
    <w:p w14:paraId="5570F256" w14:textId="02BCBF76" w:rsidR="005C076B" w:rsidRPr="00B91524" w:rsidRDefault="005C076B" w:rsidP="005C076B">
      <w:pPr>
        <w:pStyle w:val="Bullet"/>
        <w:jc w:val="both"/>
      </w:pPr>
      <w:r w:rsidRPr="00B91524">
        <w:t>Benthic monitoring objectives for the Dogger Bank SAC set out by Natural England (see Appendix A)</w:t>
      </w:r>
      <w:r w:rsidR="001B2400" w:rsidRPr="00B91524">
        <w:t>;</w:t>
      </w:r>
    </w:p>
    <w:p w14:paraId="76F0F233" w14:textId="00ADE2A9" w:rsidR="005C076B" w:rsidRPr="00B91524" w:rsidRDefault="005C076B" w:rsidP="005C076B">
      <w:pPr>
        <w:pStyle w:val="Bullet"/>
        <w:jc w:val="both"/>
      </w:pPr>
      <w:r w:rsidRPr="00B91524">
        <w:t>T</w:t>
      </w:r>
      <w:r w:rsidR="00D12E0A" w:rsidRPr="00B91524">
        <w:t xml:space="preserve">he </w:t>
      </w:r>
      <w:r w:rsidR="00F812A5" w:rsidRPr="00B91524">
        <w:t>specific habitats present in the project construction area</w:t>
      </w:r>
      <w:r w:rsidR="001B2400" w:rsidRPr="00B91524">
        <w:t xml:space="preserve"> (see Appendix B); and</w:t>
      </w:r>
    </w:p>
    <w:p w14:paraId="4FFC2A2F" w14:textId="7DCE0376" w:rsidR="00D12E0A" w:rsidRPr="00B91524" w:rsidRDefault="00203C58" w:rsidP="007B42F3">
      <w:pPr>
        <w:pStyle w:val="Bullet"/>
        <w:jc w:val="both"/>
      </w:pPr>
      <w:r w:rsidRPr="00B91524">
        <w:t xml:space="preserve"> </w:t>
      </w:r>
      <w:r w:rsidR="001B2400" w:rsidRPr="00B91524">
        <w:t>T</w:t>
      </w:r>
      <w:r w:rsidRPr="00B91524">
        <w:t xml:space="preserve">he nature of the </w:t>
      </w:r>
      <w:r w:rsidR="006864FE" w:rsidRPr="00B91524">
        <w:t xml:space="preserve">infrastructure </w:t>
      </w:r>
      <w:r w:rsidR="001B2400" w:rsidRPr="00B91524">
        <w:t xml:space="preserve">to be </w:t>
      </w:r>
      <w:r w:rsidR="006864FE" w:rsidRPr="00B91524">
        <w:t>installed</w:t>
      </w:r>
      <w:r w:rsidR="001B2400" w:rsidRPr="00B91524">
        <w:t xml:space="preserve"> (Section </w:t>
      </w:r>
      <w:r w:rsidR="001B2400" w:rsidRPr="00B91524">
        <w:fldChar w:fldCharType="begin"/>
      </w:r>
      <w:r w:rsidR="001B2400" w:rsidRPr="00B91524">
        <w:instrText xml:space="preserve"> REF _Ref50445579 \r \h </w:instrText>
      </w:r>
      <w:r w:rsidR="00B91524">
        <w:instrText xml:space="preserve"> \* MERGEFORMAT </w:instrText>
      </w:r>
      <w:r w:rsidR="001B2400" w:rsidRPr="00B91524">
        <w:fldChar w:fldCharType="separate"/>
      </w:r>
      <w:r w:rsidR="00683595">
        <w:t>2</w:t>
      </w:r>
      <w:r w:rsidR="001B2400" w:rsidRPr="00B91524">
        <w:fldChar w:fldCharType="end"/>
      </w:r>
      <w:r w:rsidR="001B2400" w:rsidRPr="00B91524">
        <w:t>)</w:t>
      </w:r>
      <w:r w:rsidR="00D12E0A" w:rsidRPr="00B91524">
        <w:t xml:space="preserve">. </w:t>
      </w:r>
    </w:p>
    <w:p w14:paraId="689BC311" w14:textId="0ECDB388" w:rsidR="00DF2C1C" w:rsidRPr="00B91524" w:rsidRDefault="00484D6C" w:rsidP="007908D8">
      <w:pPr>
        <w:pStyle w:val="Reportbodytextnumbering"/>
      </w:pPr>
      <w:r w:rsidRPr="00B91524">
        <w:t>The final sampling design for the pre</w:t>
      </w:r>
      <w:r w:rsidR="00DB4292" w:rsidRPr="00B91524">
        <w:t>-</w:t>
      </w:r>
      <w:r w:rsidRPr="00B91524">
        <w:t xml:space="preserve">construction surveys will be provided to the MMO </w:t>
      </w:r>
      <w:r w:rsidR="00DF2C1C" w:rsidRPr="00B91524">
        <w:t>at least four months before commencement of any survey works</w:t>
      </w:r>
      <w:r w:rsidR="00085E8F" w:rsidRPr="00B91524">
        <w:t xml:space="preserve">. Appendix I </w:t>
      </w:r>
      <w:r w:rsidR="00702469" w:rsidRPr="00B91524">
        <w:t xml:space="preserve">and </w:t>
      </w:r>
      <w:r w:rsidR="007443E4" w:rsidRPr="00B91524">
        <w:t>J</w:t>
      </w:r>
      <w:r w:rsidR="00702469" w:rsidRPr="00B91524">
        <w:t xml:space="preserve"> </w:t>
      </w:r>
      <w:r w:rsidR="00085E8F" w:rsidRPr="00B91524">
        <w:t xml:space="preserve">provide the final sampling design for the nearshore </w:t>
      </w:r>
      <w:r w:rsidR="00702469" w:rsidRPr="00B91524">
        <w:t xml:space="preserve">(out to KP 10) and offshore (beyond KP10) sampling design respectively. </w:t>
      </w:r>
      <w:r w:rsidR="00344426" w:rsidRPr="00B91524">
        <w:t xml:space="preserve">Appendix </w:t>
      </w:r>
      <w:r w:rsidR="007443E4" w:rsidRPr="00B91524">
        <w:t>K</w:t>
      </w:r>
      <w:r w:rsidR="00344426" w:rsidRPr="00B91524">
        <w:t xml:space="preserve"> also provides the </w:t>
      </w:r>
      <w:r w:rsidR="00AD5199" w:rsidRPr="00B91524">
        <w:t xml:space="preserve">sampling design for the </w:t>
      </w:r>
      <w:proofErr w:type="spellStart"/>
      <w:r w:rsidR="00AD5199" w:rsidRPr="00B91524">
        <w:t>Senckenberg</w:t>
      </w:r>
      <w:proofErr w:type="spellEnd"/>
      <w:r w:rsidR="00AD5199" w:rsidRPr="00B91524">
        <w:t xml:space="preserve"> Research Institute (SRI) sampling which will make up part of the SOWF benthic monitoring plan (see Section</w:t>
      </w:r>
      <w:r w:rsidR="00B31584" w:rsidRPr="00B91524">
        <w:t>s</w:t>
      </w:r>
      <w:r w:rsidR="00AD5199" w:rsidRPr="00B91524">
        <w:t xml:space="preserve"> </w:t>
      </w:r>
      <w:r w:rsidR="00B31584" w:rsidRPr="00B91524">
        <w:t>3.8 and 4</w:t>
      </w:r>
      <w:r w:rsidR="00AD5199" w:rsidRPr="00B91524">
        <w:t xml:space="preserve">. </w:t>
      </w:r>
      <w:r w:rsidR="00AD5199" w:rsidRPr="00B91524" w:rsidDel="00702469">
        <w:t xml:space="preserve"> </w:t>
      </w:r>
    </w:p>
    <w:p w14:paraId="6B5118D6" w14:textId="3B7CC038" w:rsidR="00962F37" w:rsidRPr="00B91524" w:rsidRDefault="00484D6C" w:rsidP="007908D8">
      <w:pPr>
        <w:pStyle w:val="Reportbodytextnumbering"/>
      </w:pPr>
      <w:r w:rsidRPr="00B91524">
        <w:t xml:space="preserve">As </w:t>
      </w:r>
      <w:r w:rsidR="00EB32E7" w:rsidRPr="00B91524">
        <w:t>set out</w:t>
      </w:r>
      <w:r w:rsidRPr="00B91524">
        <w:t xml:space="preserve"> in </w:t>
      </w:r>
      <w:r w:rsidR="005267F5" w:rsidRPr="00B91524">
        <w:fldChar w:fldCharType="begin"/>
      </w:r>
      <w:r w:rsidR="005267F5" w:rsidRPr="00B91524">
        <w:instrText xml:space="preserve"> REF _Ref46056452 \h </w:instrText>
      </w:r>
      <w:r w:rsidR="000A4EA6" w:rsidRPr="00B91524">
        <w:instrText xml:space="preserve"> \* MERGEFORMAT </w:instrText>
      </w:r>
      <w:r w:rsidR="005267F5" w:rsidRPr="00B91524">
        <w:fldChar w:fldCharType="separate"/>
      </w:r>
      <w:r w:rsidR="00683595" w:rsidRPr="00B91524">
        <w:t xml:space="preserve">Table </w:t>
      </w:r>
      <w:r w:rsidR="00683595">
        <w:rPr>
          <w:noProof/>
        </w:rPr>
        <w:t>1</w:t>
      </w:r>
      <w:r w:rsidR="00683595" w:rsidRPr="00B91524">
        <w:rPr>
          <w:noProof/>
        </w:rPr>
        <w:noBreakHyphen/>
      </w:r>
      <w:r w:rsidR="00683595">
        <w:rPr>
          <w:noProof/>
        </w:rPr>
        <w:t>2</w:t>
      </w:r>
      <w:r w:rsidR="005267F5" w:rsidRPr="00B91524">
        <w:fldChar w:fldCharType="end"/>
      </w:r>
      <w:r w:rsidRPr="00B91524">
        <w:t>, the requirement for post</w:t>
      </w:r>
      <w:r w:rsidR="00D12E0A" w:rsidRPr="00B91524">
        <w:t>-</w:t>
      </w:r>
      <w:r w:rsidRPr="00B91524">
        <w:t>construction surveys are dependent on the out</w:t>
      </w:r>
      <w:r w:rsidR="00C91BEA" w:rsidRPr="00B91524">
        <w:t>come</w:t>
      </w:r>
      <w:r w:rsidRPr="00B91524">
        <w:t xml:space="preserve"> of the pre-construction surveys.</w:t>
      </w:r>
      <w:r w:rsidR="005267F5" w:rsidRPr="00B91524">
        <w:t xml:space="preserve"> </w:t>
      </w:r>
      <w:r w:rsidR="001A7328" w:rsidRPr="00B91524">
        <w:t>However, SOWFL have included for adaptive post</w:t>
      </w:r>
      <w:r w:rsidR="002A6A90" w:rsidRPr="00B91524">
        <w:t>-</w:t>
      </w:r>
      <w:r w:rsidR="001A7328" w:rsidRPr="00B91524">
        <w:t xml:space="preserve">construction monitoring within this BMP. </w:t>
      </w:r>
      <w:r w:rsidR="005267F5" w:rsidRPr="00B91524">
        <w:t>T</w:t>
      </w:r>
      <w:r w:rsidRPr="00B91524">
        <w:t xml:space="preserve">he </w:t>
      </w:r>
      <w:r w:rsidR="002352D0" w:rsidRPr="00B91524">
        <w:t>o</w:t>
      </w:r>
      <w:r w:rsidR="00525074" w:rsidRPr="00B91524">
        <w:t xml:space="preserve">bjectives and the design of the </w:t>
      </w:r>
      <w:r w:rsidRPr="00B91524">
        <w:t>pre</w:t>
      </w:r>
      <w:r w:rsidR="00DB4292" w:rsidRPr="00B91524">
        <w:t>-</w:t>
      </w:r>
      <w:r w:rsidRPr="00B91524">
        <w:t xml:space="preserve">construction survey </w:t>
      </w:r>
      <w:r w:rsidR="005267F5" w:rsidRPr="00B91524">
        <w:t>have therefore</w:t>
      </w:r>
      <w:r w:rsidRPr="00B91524">
        <w:t xml:space="preserve"> consider</w:t>
      </w:r>
      <w:r w:rsidR="0018241A" w:rsidRPr="00B91524">
        <w:t>ed</w:t>
      </w:r>
      <w:r w:rsidRPr="00B91524">
        <w:t xml:space="preserve"> the </w:t>
      </w:r>
      <w:r w:rsidR="002B4298" w:rsidRPr="00B91524">
        <w:t xml:space="preserve">need </w:t>
      </w:r>
      <w:r w:rsidRPr="00B91524">
        <w:t>for post</w:t>
      </w:r>
      <w:r w:rsidR="005267F5" w:rsidRPr="00B91524">
        <w:t>-</w:t>
      </w:r>
      <w:r w:rsidRPr="00B91524">
        <w:t xml:space="preserve">construction </w:t>
      </w:r>
      <w:r w:rsidR="00525074" w:rsidRPr="00B91524">
        <w:t xml:space="preserve">monitoring </w:t>
      </w:r>
      <w:r w:rsidR="00A14879" w:rsidRPr="00B91524">
        <w:t xml:space="preserve">and as such, the BMP can discharge in full, </w:t>
      </w:r>
      <w:r w:rsidR="00C76797" w:rsidRPr="00B91524">
        <w:t xml:space="preserve">the </w:t>
      </w:r>
      <w:r w:rsidR="00A14879" w:rsidRPr="00B91524">
        <w:t>requirements for benthic monitoring</w:t>
      </w:r>
      <w:r w:rsidRPr="00B91524">
        <w:t xml:space="preserve">.  </w:t>
      </w:r>
      <w:r w:rsidR="00DF2C1C" w:rsidRPr="00B91524">
        <w:t xml:space="preserve"> </w:t>
      </w:r>
    </w:p>
    <w:p w14:paraId="2D06B06A" w14:textId="67AEE3F3" w:rsidR="00224F4F" w:rsidRPr="00B91524" w:rsidRDefault="00DF2C1C" w:rsidP="007908D8">
      <w:pPr>
        <w:pStyle w:val="Reportbodytextnumbering"/>
      </w:pPr>
      <w:r w:rsidRPr="00B91524">
        <w:t xml:space="preserve">Given the proximity of SOWF to the planned Dogger Bank Wind Farm </w:t>
      </w:r>
      <w:r w:rsidR="00B209ED" w:rsidRPr="00B91524">
        <w:t xml:space="preserve">(DBWF) </w:t>
      </w:r>
      <w:r w:rsidR="00372278" w:rsidRPr="00B91524">
        <w:t xml:space="preserve">A and B, and subsequently C, </w:t>
      </w:r>
      <w:r w:rsidRPr="00B91524">
        <w:t xml:space="preserve">being developed by </w:t>
      </w:r>
      <w:r w:rsidR="00B209ED" w:rsidRPr="00B91524">
        <w:t xml:space="preserve">SSE and </w:t>
      </w:r>
      <w:proofErr w:type="spellStart"/>
      <w:r w:rsidR="00B209ED" w:rsidRPr="00B91524">
        <w:t>Equinor</w:t>
      </w:r>
      <w:proofErr w:type="spellEnd"/>
      <w:r w:rsidR="005267F5" w:rsidRPr="00B91524">
        <w:t xml:space="preserve"> (</w:t>
      </w:r>
      <w:r w:rsidR="00F51211" w:rsidRPr="00B91524">
        <w:fldChar w:fldCharType="begin"/>
      </w:r>
      <w:r w:rsidR="00F51211" w:rsidRPr="00B91524">
        <w:instrText xml:space="preserve"> REF _Ref48642247 \h </w:instrText>
      </w:r>
      <w:r w:rsidR="00B91524">
        <w:instrText xml:space="preserve"> \* MERGEFORMAT </w:instrText>
      </w:r>
      <w:r w:rsidR="00F51211" w:rsidRPr="00B91524">
        <w:fldChar w:fldCharType="separate"/>
      </w:r>
      <w:r w:rsidR="00683595" w:rsidRPr="00B91524">
        <w:t xml:space="preserve">Figure </w:t>
      </w:r>
      <w:r w:rsidR="00683595">
        <w:rPr>
          <w:noProof/>
        </w:rPr>
        <w:t>2</w:t>
      </w:r>
      <w:r w:rsidR="00683595" w:rsidRPr="00B91524">
        <w:rPr>
          <w:noProof/>
        </w:rPr>
        <w:noBreakHyphen/>
      </w:r>
      <w:r w:rsidR="00683595">
        <w:rPr>
          <w:noProof/>
        </w:rPr>
        <w:t>1</w:t>
      </w:r>
      <w:r w:rsidR="00F51211" w:rsidRPr="00B91524">
        <w:fldChar w:fldCharType="end"/>
      </w:r>
      <w:r w:rsidR="005267F5" w:rsidRPr="00B91524">
        <w:t>)</w:t>
      </w:r>
      <w:r w:rsidRPr="00B91524">
        <w:t xml:space="preserve">, discussions </w:t>
      </w:r>
      <w:r w:rsidR="002352D0" w:rsidRPr="00B91524">
        <w:t>are ongoing with</w:t>
      </w:r>
      <w:r w:rsidRPr="00B91524">
        <w:t xml:space="preserve"> </w:t>
      </w:r>
      <w:r w:rsidR="00B209ED" w:rsidRPr="00B91524">
        <w:t>DBWF</w:t>
      </w:r>
      <w:r w:rsidRPr="00B91524">
        <w:t xml:space="preserve"> to </w:t>
      </w:r>
      <w:r w:rsidR="002352D0" w:rsidRPr="00B91524">
        <w:t>ensure</w:t>
      </w:r>
      <w:r w:rsidRPr="00B91524">
        <w:t xml:space="preserve"> the data collected for</w:t>
      </w:r>
      <w:r w:rsidR="00372278" w:rsidRPr="00B91524">
        <w:t xml:space="preserve"> all</w:t>
      </w:r>
      <w:r w:rsidRPr="00B91524">
        <w:t xml:space="preserve"> wind farm projects </w:t>
      </w:r>
      <w:r w:rsidR="00372278" w:rsidRPr="00B91524">
        <w:t>are</w:t>
      </w:r>
      <w:r w:rsidRPr="00B91524">
        <w:t xml:space="preserve"> comparable. </w:t>
      </w:r>
      <w:r w:rsidR="00224F4F" w:rsidRPr="00B91524">
        <w:t xml:space="preserve">This will help to </w:t>
      </w:r>
      <w:proofErr w:type="spellStart"/>
      <w:r w:rsidR="00224F4F" w:rsidRPr="00B91524">
        <w:t>maximi</w:t>
      </w:r>
      <w:r w:rsidR="00A41B39" w:rsidRPr="00B91524">
        <w:t>s</w:t>
      </w:r>
      <w:r w:rsidR="00224F4F" w:rsidRPr="00B91524">
        <w:t>e</w:t>
      </w:r>
      <w:proofErr w:type="spellEnd"/>
      <w:r w:rsidR="00224F4F" w:rsidRPr="00B91524">
        <w:t xml:space="preserve"> the value of the data collected </w:t>
      </w:r>
      <w:r w:rsidR="00003BA9" w:rsidRPr="00B91524">
        <w:t xml:space="preserve">and </w:t>
      </w:r>
      <w:r w:rsidR="00A41B39" w:rsidRPr="00B91524">
        <w:t xml:space="preserve">allow for any regional scale impacts to be </w:t>
      </w:r>
      <w:r w:rsidR="00F51211" w:rsidRPr="00B91524">
        <w:t>assessed if required</w:t>
      </w:r>
      <w:r w:rsidR="00A41B39" w:rsidRPr="00B91524">
        <w:t>.</w:t>
      </w:r>
    </w:p>
    <w:p w14:paraId="35BCBB20" w14:textId="15C72DB8" w:rsidR="00C57E95" w:rsidRPr="00B91524" w:rsidRDefault="00C57E95" w:rsidP="00C57E95">
      <w:pPr>
        <w:pStyle w:val="Caption"/>
      </w:pPr>
      <w:bookmarkStart w:id="4" w:name="_Ref46056442"/>
      <w:bookmarkStart w:id="5" w:name="_Toc41050524"/>
      <w:bookmarkStart w:id="6" w:name="_Toc61597200"/>
      <w:r w:rsidRPr="00B91524">
        <w:t xml:space="preserve">Table </w:t>
      </w:r>
      <w:r w:rsidR="00683595">
        <w:fldChar w:fldCharType="begin"/>
      </w:r>
      <w:r w:rsidR="00683595">
        <w:instrText xml:space="preserve"> STYLEREF 1 \s </w:instrText>
      </w:r>
      <w:r w:rsidR="00683595">
        <w:fldChar w:fldCharType="separate"/>
      </w:r>
      <w:r w:rsidR="00683595">
        <w:rPr>
          <w:noProof/>
        </w:rPr>
        <w:t>1</w:t>
      </w:r>
      <w:r w:rsidR="00683595">
        <w:rPr>
          <w:noProof/>
        </w:rPr>
        <w:fldChar w:fldCharType="end"/>
      </w:r>
      <w:r w:rsidR="00C82285" w:rsidRPr="00B91524">
        <w:noBreakHyphen/>
      </w:r>
      <w:r w:rsidR="00683595">
        <w:fldChar w:fldCharType="begin"/>
      </w:r>
      <w:r w:rsidR="00683595">
        <w:instrText xml:space="preserve"> SEQ Table \* ARABIC \s 1 </w:instrText>
      </w:r>
      <w:r w:rsidR="00683595">
        <w:fldChar w:fldCharType="separate"/>
      </w:r>
      <w:r w:rsidR="00683595">
        <w:rPr>
          <w:noProof/>
        </w:rPr>
        <w:t>1</w:t>
      </w:r>
      <w:r w:rsidR="00683595">
        <w:rPr>
          <w:noProof/>
        </w:rPr>
        <w:fldChar w:fldCharType="end"/>
      </w:r>
      <w:bookmarkEnd w:id="4"/>
      <w:r w:rsidRPr="00B91524">
        <w:t xml:space="preserve"> </w:t>
      </w:r>
      <w:proofErr w:type="spellStart"/>
      <w:r w:rsidRPr="00B91524">
        <w:t>dML</w:t>
      </w:r>
      <w:proofErr w:type="spellEnd"/>
      <w:r w:rsidRPr="00B91524">
        <w:t xml:space="preserve"> Conditions (as varied in April 2019) discharged in Full or Part, through the provision of the Benthic Monitoring Plan.</w:t>
      </w:r>
      <w:bookmarkEnd w:id="5"/>
      <w:bookmarkEnd w:id="6"/>
    </w:p>
    <w:tbl>
      <w:tblPr>
        <w:tblW w:w="5000" w:type="pct"/>
        <w:tblLook w:val="04A0" w:firstRow="1" w:lastRow="0" w:firstColumn="1" w:lastColumn="0" w:noHBand="0" w:noVBand="1"/>
      </w:tblPr>
      <w:tblGrid>
        <w:gridCol w:w="4385"/>
        <w:gridCol w:w="5351"/>
      </w:tblGrid>
      <w:tr w:rsidR="009B6FEE" w:rsidRPr="00B91524" w14:paraId="1BECDF3B" w14:textId="77777777" w:rsidTr="0009712F">
        <w:trPr>
          <w:trHeight w:val="509"/>
        </w:trPr>
        <w:tc>
          <w:tcPr>
            <w:tcW w:w="5000" w:type="pct"/>
            <w:gridSpan w:val="2"/>
            <w:tcBorders>
              <w:top w:val="single" w:sz="8" w:space="0" w:color="auto"/>
              <w:left w:val="single" w:sz="8" w:space="0" w:color="auto"/>
              <w:bottom w:val="single" w:sz="8" w:space="0" w:color="auto"/>
              <w:right w:val="single" w:sz="8" w:space="0" w:color="000000"/>
            </w:tcBorders>
            <w:shd w:val="clear" w:color="000000" w:fill="002F8E"/>
            <w:vAlign w:val="center"/>
            <w:hideMark/>
          </w:tcPr>
          <w:p w14:paraId="0E3ED7E3" w14:textId="77777777" w:rsidR="009B6FEE" w:rsidRPr="00B91524" w:rsidRDefault="009B6FEE" w:rsidP="009B6FEE">
            <w:pPr>
              <w:spacing w:after="0"/>
              <w:rPr>
                <w:rFonts w:cs="Arial"/>
                <w:b/>
                <w:bCs/>
                <w:color w:val="FFFFFF"/>
                <w:sz w:val="18"/>
                <w:szCs w:val="18"/>
                <w:lang w:eastAsia="en-GB"/>
              </w:rPr>
            </w:pPr>
            <w:r w:rsidRPr="00B91524">
              <w:rPr>
                <w:rFonts w:cs="Arial"/>
                <w:b/>
                <w:bCs/>
                <w:color w:val="FFFFFF"/>
                <w:sz w:val="18"/>
                <w:szCs w:val="18"/>
                <w:lang w:eastAsia="en-GB"/>
              </w:rPr>
              <w:t>DCO Schedule 9: Marine Licence 2: Project B (SOWF) Offshore Generation – Work Nos. 1B and 2T: Part 2 Conditions (Variation No. 2, April 2019)</w:t>
            </w:r>
          </w:p>
        </w:tc>
      </w:tr>
      <w:tr w:rsidR="009B6FEE" w:rsidRPr="00B91524" w14:paraId="2C200390" w14:textId="77777777" w:rsidTr="00504BCF">
        <w:trPr>
          <w:trHeight w:val="403"/>
        </w:trPr>
        <w:tc>
          <w:tcPr>
            <w:tcW w:w="2252" w:type="pct"/>
            <w:tcBorders>
              <w:top w:val="nil"/>
              <w:left w:val="single" w:sz="8" w:space="0" w:color="1D4477"/>
              <w:bottom w:val="single" w:sz="8" w:space="0" w:color="1D4477"/>
              <w:right w:val="single" w:sz="8" w:space="0" w:color="1D4477"/>
            </w:tcBorders>
            <w:shd w:val="clear" w:color="000000" w:fill="C4D7F0"/>
            <w:vAlign w:val="center"/>
            <w:hideMark/>
          </w:tcPr>
          <w:p w14:paraId="693CA403" w14:textId="77777777" w:rsidR="009B6FEE" w:rsidRPr="00B91524" w:rsidRDefault="009B6FEE" w:rsidP="009B6FEE">
            <w:pPr>
              <w:spacing w:after="0"/>
              <w:rPr>
                <w:rFonts w:cs="Arial"/>
                <w:b/>
                <w:bCs/>
                <w:color w:val="000000"/>
                <w:sz w:val="18"/>
                <w:szCs w:val="18"/>
                <w:lang w:eastAsia="en-GB"/>
              </w:rPr>
            </w:pPr>
            <w:proofErr w:type="spellStart"/>
            <w:r w:rsidRPr="00B91524">
              <w:rPr>
                <w:rFonts w:cs="Arial"/>
                <w:b/>
                <w:bCs/>
                <w:sz w:val="18"/>
                <w:lang w:eastAsia="en-GB"/>
              </w:rPr>
              <w:t>dML</w:t>
            </w:r>
            <w:proofErr w:type="spellEnd"/>
            <w:r w:rsidRPr="00B91524">
              <w:rPr>
                <w:rFonts w:cs="Arial"/>
                <w:b/>
                <w:bCs/>
                <w:sz w:val="18"/>
                <w:lang w:eastAsia="en-GB"/>
              </w:rPr>
              <w:t xml:space="preserve"> Condition</w:t>
            </w:r>
          </w:p>
        </w:tc>
        <w:tc>
          <w:tcPr>
            <w:tcW w:w="2748" w:type="pct"/>
            <w:tcBorders>
              <w:top w:val="nil"/>
              <w:left w:val="nil"/>
              <w:bottom w:val="single" w:sz="8" w:space="0" w:color="1D4477"/>
              <w:right w:val="single" w:sz="8" w:space="0" w:color="1D4477"/>
            </w:tcBorders>
            <w:shd w:val="clear" w:color="000000" w:fill="C4D7F0"/>
            <w:vAlign w:val="center"/>
            <w:hideMark/>
          </w:tcPr>
          <w:p w14:paraId="566CEF2A" w14:textId="77777777" w:rsidR="009B6FEE" w:rsidRPr="00B91524" w:rsidRDefault="009B6FEE" w:rsidP="009B6FEE">
            <w:pPr>
              <w:spacing w:after="0"/>
              <w:rPr>
                <w:rFonts w:cs="Arial"/>
                <w:b/>
                <w:bCs/>
                <w:color w:val="000000"/>
                <w:sz w:val="18"/>
                <w:szCs w:val="18"/>
                <w:lang w:eastAsia="en-GB"/>
              </w:rPr>
            </w:pPr>
            <w:r w:rsidRPr="00B91524">
              <w:rPr>
                <w:rFonts w:cs="Arial"/>
                <w:b/>
                <w:bCs/>
                <w:sz w:val="18"/>
                <w:lang w:eastAsia="en-GB"/>
              </w:rPr>
              <w:t>In Full or Part discharge</w:t>
            </w:r>
          </w:p>
        </w:tc>
      </w:tr>
      <w:tr w:rsidR="009B6FEE" w:rsidRPr="00B91524" w14:paraId="4DD78B1C" w14:textId="77777777" w:rsidTr="00504BCF">
        <w:trPr>
          <w:trHeight w:val="550"/>
        </w:trPr>
        <w:tc>
          <w:tcPr>
            <w:tcW w:w="2252" w:type="pct"/>
            <w:tcBorders>
              <w:top w:val="nil"/>
              <w:left w:val="single" w:sz="8" w:space="0" w:color="1D4477"/>
              <w:bottom w:val="single" w:sz="8" w:space="0" w:color="1D4477"/>
              <w:right w:val="single" w:sz="8" w:space="0" w:color="1D4477"/>
            </w:tcBorders>
            <w:shd w:val="clear" w:color="000000" w:fill="C4D7F0"/>
            <w:vAlign w:val="center"/>
            <w:hideMark/>
          </w:tcPr>
          <w:p w14:paraId="633574F7" w14:textId="77777777" w:rsidR="009B6FEE" w:rsidRPr="00B91524" w:rsidRDefault="009B6FEE" w:rsidP="009B6FEE">
            <w:pPr>
              <w:spacing w:after="0"/>
              <w:rPr>
                <w:rFonts w:cs="Arial"/>
                <w:color w:val="000000"/>
                <w:sz w:val="18"/>
                <w:szCs w:val="18"/>
                <w:lang w:eastAsia="en-GB"/>
              </w:rPr>
            </w:pPr>
            <w:r w:rsidRPr="00B91524">
              <w:rPr>
                <w:rFonts w:cs="Arial"/>
                <w:sz w:val="18"/>
                <w:lang w:eastAsia="en-GB"/>
              </w:rPr>
              <w:t>Pre-construction plans and documentation: Detailed Construction and Monitoring Programme 16(b)(iii)</w:t>
            </w:r>
          </w:p>
        </w:tc>
        <w:tc>
          <w:tcPr>
            <w:tcW w:w="2748" w:type="pct"/>
            <w:tcBorders>
              <w:top w:val="nil"/>
              <w:left w:val="nil"/>
              <w:bottom w:val="single" w:sz="8" w:space="0" w:color="1D4477"/>
              <w:right w:val="single" w:sz="8" w:space="0" w:color="1D4477"/>
            </w:tcBorders>
            <w:shd w:val="clear" w:color="000000" w:fill="C4D7F0"/>
            <w:vAlign w:val="center"/>
            <w:hideMark/>
          </w:tcPr>
          <w:p w14:paraId="14D516C7" w14:textId="77777777" w:rsidR="009B6FEE" w:rsidRPr="00B91524" w:rsidRDefault="009B6FEE" w:rsidP="009B6FEE">
            <w:pPr>
              <w:spacing w:after="0"/>
              <w:rPr>
                <w:rFonts w:cs="Arial"/>
                <w:color w:val="000000"/>
                <w:sz w:val="18"/>
                <w:szCs w:val="18"/>
                <w:lang w:eastAsia="en-GB"/>
              </w:rPr>
            </w:pPr>
            <w:r w:rsidRPr="00B91524">
              <w:rPr>
                <w:rFonts w:cs="Arial"/>
                <w:sz w:val="18"/>
                <w:lang w:eastAsia="en-GB"/>
              </w:rPr>
              <w:t>Part</w:t>
            </w:r>
          </w:p>
        </w:tc>
      </w:tr>
      <w:tr w:rsidR="009B6FEE" w:rsidRPr="00B91524" w14:paraId="54EA6A51" w14:textId="77777777" w:rsidTr="00504BCF">
        <w:trPr>
          <w:trHeight w:val="402"/>
        </w:trPr>
        <w:tc>
          <w:tcPr>
            <w:tcW w:w="2252" w:type="pct"/>
            <w:tcBorders>
              <w:top w:val="nil"/>
              <w:left w:val="single" w:sz="8" w:space="0" w:color="1D4477"/>
              <w:bottom w:val="single" w:sz="8" w:space="0" w:color="1D4477"/>
              <w:right w:val="single" w:sz="8" w:space="0" w:color="1D4477"/>
            </w:tcBorders>
            <w:shd w:val="clear" w:color="000000" w:fill="C4D7F0"/>
            <w:vAlign w:val="center"/>
            <w:hideMark/>
          </w:tcPr>
          <w:p w14:paraId="6100A190" w14:textId="77777777" w:rsidR="009B6FEE" w:rsidRPr="00B91524" w:rsidRDefault="009B6FEE" w:rsidP="009B6FEE">
            <w:pPr>
              <w:spacing w:after="0"/>
              <w:rPr>
                <w:rFonts w:cs="Arial"/>
                <w:color w:val="000000"/>
                <w:sz w:val="18"/>
                <w:szCs w:val="18"/>
                <w:lang w:eastAsia="en-GB"/>
              </w:rPr>
            </w:pPr>
            <w:r w:rsidRPr="00B91524">
              <w:rPr>
                <w:rFonts w:cs="Arial"/>
                <w:sz w:val="18"/>
                <w:lang w:eastAsia="en-GB"/>
              </w:rPr>
              <w:t xml:space="preserve">Pre-construction monitoring 21(2)(a), </w:t>
            </w:r>
          </w:p>
        </w:tc>
        <w:tc>
          <w:tcPr>
            <w:tcW w:w="2748" w:type="pct"/>
            <w:tcBorders>
              <w:top w:val="nil"/>
              <w:left w:val="nil"/>
              <w:bottom w:val="single" w:sz="8" w:space="0" w:color="1D4477"/>
              <w:right w:val="single" w:sz="8" w:space="0" w:color="1D4477"/>
            </w:tcBorders>
            <w:shd w:val="clear" w:color="000000" w:fill="C4D7F0"/>
            <w:vAlign w:val="center"/>
            <w:hideMark/>
          </w:tcPr>
          <w:p w14:paraId="7042FCD5" w14:textId="77777777" w:rsidR="009B6FEE" w:rsidRPr="00B91524" w:rsidRDefault="009B6FEE" w:rsidP="009B6FEE">
            <w:pPr>
              <w:spacing w:after="0"/>
              <w:rPr>
                <w:rFonts w:cs="Arial"/>
                <w:color w:val="000000"/>
                <w:sz w:val="18"/>
                <w:szCs w:val="18"/>
                <w:lang w:eastAsia="en-GB"/>
              </w:rPr>
            </w:pPr>
            <w:r w:rsidRPr="00B91524">
              <w:rPr>
                <w:rFonts w:cs="Arial"/>
                <w:sz w:val="18"/>
                <w:lang w:eastAsia="en-GB"/>
              </w:rPr>
              <w:t>Full</w:t>
            </w:r>
          </w:p>
        </w:tc>
      </w:tr>
      <w:tr w:rsidR="009B6FEE" w:rsidRPr="00B91524" w14:paraId="4CC65967" w14:textId="77777777" w:rsidTr="00504BCF">
        <w:trPr>
          <w:trHeight w:val="491"/>
        </w:trPr>
        <w:tc>
          <w:tcPr>
            <w:tcW w:w="2252" w:type="pct"/>
            <w:tcBorders>
              <w:top w:val="nil"/>
              <w:left w:val="single" w:sz="8" w:space="0" w:color="1D4477"/>
              <w:bottom w:val="single" w:sz="8" w:space="0" w:color="1D4477"/>
              <w:right w:val="single" w:sz="8" w:space="0" w:color="1D4477"/>
            </w:tcBorders>
            <w:shd w:val="clear" w:color="000000" w:fill="C4D7F0"/>
            <w:vAlign w:val="center"/>
            <w:hideMark/>
          </w:tcPr>
          <w:p w14:paraId="3FFD97D7" w14:textId="77777777" w:rsidR="009B6FEE" w:rsidRPr="00B91524" w:rsidRDefault="009B6FEE" w:rsidP="009B6FEE">
            <w:pPr>
              <w:spacing w:after="0"/>
              <w:rPr>
                <w:rFonts w:cs="Arial"/>
                <w:color w:val="000000"/>
                <w:sz w:val="18"/>
                <w:szCs w:val="18"/>
                <w:lang w:eastAsia="en-GB"/>
              </w:rPr>
            </w:pPr>
            <w:r w:rsidRPr="00B91524">
              <w:rPr>
                <w:rFonts w:cs="Arial"/>
                <w:sz w:val="18"/>
                <w:lang w:eastAsia="en-GB"/>
              </w:rPr>
              <w:t>Post-construction surveys 23(2)(c)</w:t>
            </w:r>
          </w:p>
        </w:tc>
        <w:tc>
          <w:tcPr>
            <w:tcW w:w="2748" w:type="pct"/>
            <w:tcBorders>
              <w:top w:val="nil"/>
              <w:left w:val="nil"/>
              <w:bottom w:val="single" w:sz="8" w:space="0" w:color="1D4477"/>
              <w:right w:val="single" w:sz="8" w:space="0" w:color="1D4477"/>
            </w:tcBorders>
            <w:shd w:val="clear" w:color="000000" w:fill="C4D7F0"/>
            <w:vAlign w:val="center"/>
            <w:hideMark/>
          </w:tcPr>
          <w:p w14:paraId="7EB6FAF4" w14:textId="77777777" w:rsidR="009B6FEE" w:rsidRPr="00B91524" w:rsidRDefault="009B6FEE" w:rsidP="009B6FEE">
            <w:pPr>
              <w:spacing w:after="0"/>
              <w:rPr>
                <w:rFonts w:cs="Arial"/>
                <w:color w:val="000000"/>
                <w:sz w:val="18"/>
                <w:szCs w:val="18"/>
                <w:lang w:eastAsia="en-GB"/>
              </w:rPr>
            </w:pPr>
            <w:r w:rsidRPr="00B91524">
              <w:rPr>
                <w:rFonts w:cs="Arial"/>
                <w:sz w:val="18"/>
                <w:lang w:eastAsia="en-GB"/>
              </w:rPr>
              <w:t>Full</w:t>
            </w:r>
          </w:p>
        </w:tc>
      </w:tr>
      <w:tr w:rsidR="009B6FEE" w:rsidRPr="00B91524" w14:paraId="3A04DA29" w14:textId="77777777" w:rsidTr="00504BCF">
        <w:trPr>
          <w:trHeight w:val="586"/>
        </w:trPr>
        <w:tc>
          <w:tcPr>
            <w:tcW w:w="2252" w:type="pct"/>
            <w:tcBorders>
              <w:top w:val="nil"/>
              <w:left w:val="single" w:sz="8" w:space="0" w:color="1D4477"/>
              <w:bottom w:val="single" w:sz="8" w:space="0" w:color="1D4477"/>
              <w:right w:val="single" w:sz="8" w:space="0" w:color="1D4477"/>
            </w:tcBorders>
            <w:shd w:val="clear" w:color="000000" w:fill="C4D7F0"/>
            <w:vAlign w:val="center"/>
            <w:hideMark/>
          </w:tcPr>
          <w:p w14:paraId="70609A82" w14:textId="77777777" w:rsidR="009B6FEE" w:rsidRPr="00B91524" w:rsidRDefault="009B6FEE" w:rsidP="009B6FEE">
            <w:pPr>
              <w:spacing w:after="0"/>
              <w:rPr>
                <w:rFonts w:cs="Arial"/>
                <w:color w:val="000000"/>
                <w:sz w:val="18"/>
                <w:szCs w:val="18"/>
                <w:lang w:eastAsia="en-GB"/>
              </w:rPr>
            </w:pPr>
            <w:r w:rsidRPr="00B91524">
              <w:rPr>
                <w:rFonts w:cs="Arial"/>
                <w:sz w:val="18"/>
                <w:lang w:eastAsia="en-GB"/>
              </w:rPr>
              <w:t>Post-construction surveys 23(2)(e)</w:t>
            </w:r>
          </w:p>
        </w:tc>
        <w:tc>
          <w:tcPr>
            <w:tcW w:w="2748" w:type="pct"/>
            <w:tcBorders>
              <w:top w:val="nil"/>
              <w:left w:val="nil"/>
              <w:bottom w:val="single" w:sz="8" w:space="0" w:color="1D4477"/>
              <w:right w:val="single" w:sz="8" w:space="0" w:color="1D4477"/>
            </w:tcBorders>
            <w:shd w:val="clear" w:color="000000" w:fill="C4D7F0"/>
            <w:vAlign w:val="center"/>
            <w:hideMark/>
          </w:tcPr>
          <w:p w14:paraId="4514621D" w14:textId="77777777" w:rsidR="009B6FEE" w:rsidRPr="00B91524" w:rsidRDefault="009B6FEE" w:rsidP="009B6FEE">
            <w:pPr>
              <w:spacing w:after="0"/>
              <w:rPr>
                <w:rFonts w:cs="Arial"/>
                <w:color w:val="000000"/>
                <w:sz w:val="18"/>
                <w:szCs w:val="18"/>
                <w:lang w:eastAsia="en-GB"/>
              </w:rPr>
            </w:pPr>
            <w:r w:rsidRPr="00B91524">
              <w:rPr>
                <w:rFonts w:cs="Arial"/>
                <w:sz w:val="18"/>
                <w:lang w:eastAsia="en-GB"/>
              </w:rPr>
              <w:t>Discharged in full through approval of the SOWFL Geophysical (Bathymetrical) Monitoring Plan (Approved by MMO in 2019)</w:t>
            </w:r>
          </w:p>
        </w:tc>
      </w:tr>
      <w:tr w:rsidR="009B6FEE" w:rsidRPr="00B91524" w14:paraId="0CB80022" w14:textId="77777777" w:rsidTr="0009712F">
        <w:trPr>
          <w:trHeight w:val="568"/>
        </w:trPr>
        <w:tc>
          <w:tcPr>
            <w:tcW w:w="5000" w:type="pct"/>
            <w:gridSpan w:val="2"/>
            <w:tcBorders>
              <w:top w:val="single" w:sz="8" w:space="0" w:color="1D4477"/>
              <w:left w:val="single" w:sz="8" w:space="0" w:color="1D4477"/>
              <w:bottom w:val="single" w:sz="8" w:space="0" w:color="1D4477"/>
              <w:right w:val="single" w:sz="8" w:space="0" w:color="1D4477"/>
            </w:tcBorders>
            <w:shd w:val="clear" w:color="000000" w:fill="002F8E"/>
            <w:vAlign w:val="center"/>
            <w:hideMark/>
          </w:tcPr>
          <w:p w14:paraId="673238C0" w14:textId="77777777" w:rsidR="009B6FEE" w:rsidRPr="00B91524" w:rsidRDefault="009B6FEE" w:rsidP="009B6FEE">
            <w:pPr>
              <w:spacing w:after="0"/>
              <w:rPr>
                <w:rFonts w:cs="Arial"/>
                <w:b/>
                <w:bCs/>
                <w:color w:val="FFFFFF"/>
                <w:sz w:val="18"/>
                <w:szCs w:val="18"/>
                <w:lang w:eastAsia="en-GB"/>
              </w:rPr>
            </w:pPr>
            <w:r w:rsidRPr="00B91524">
              <w:rPr>
                <w:rFonts w:cs="Arial"/>
                <w:b/>
                <w:bCs/>
                <w:sz w:val="18"/>
                <w:lang w:eastAsia="en-GB"/>
              </w:rPr>
              <w:t>DCO SCHEDULE 11: MARINE LICENCE 4: PROJECT B (SOWF) OFFSHORE TRANSMISSION – WORK NOS. 2B, 3b AND 2T: PART 2 CONDITIONS (VARIATION NO. 2, APRIL 2019)</w:t>
            </w:r>
          </w:p>
        </w:tc>
      </w:tr>
      <w:tr w:rsidR="009B6FEE" w:rsidRPr="00B91524" w14:paraId="6CA3C0AA" w14:textId="77777777" w:rsidTr="00504BCF">
        <w:trPr>
          <w:trHeight w:val="267"/>
        </w:trPr>
        <w:tc>
          <w:tcPr>
            <w:tcW w:w="2252" w:type="pct"/>
            <w:tcBorders>
              <w:top w:val="nil"/>
              <w:left w:val="single" w:sz="8" w:space="0" w:color="1D4477"/>
              <w:bottom w:val="single" w:sz="8" w:space="0" w:color="1D4477"/>
              <w:right w:val="single" w:sz="8" w:space="0" w:color="1D4477"/>
            </w:tcBorders>
            <w:shd w:val="clear" w:color="000000" w:fill="C4D7F0"/>
            <w:vAlign w:val="center"/>
            <w:hideMark/>
          </w:tcPr>
          <w:p w14:paraId="09E9DECA" w14:textId="77777777" w:rsidR="009B6FEE" w:rsidRPr="00B91524" w:rsidRDefault="009B6FEE" w:rsidP="009B6FEE">
            <w:pPr>
              <w:spacing w:after="0"/>
              <w:rPr>
                <w:rFonts w:cs="Arial"/>
                <w:b/>
                <w:bCs/>
                <w:color w:val="000000"/>
                <w:sz w:val="18"/>
                <w:szCs w:val="18"/>
                <w:lang w:eastAsia="en-GB"/>
              </w:rPr>
            </w:pPr>
            <w:proofErr w:type="spellStart"/>
            <w:r w:rsidRPr="00B91524">
              <w:rPr>
                <w:rFonts w:cs="Arial"/>
                <w:b/>
                <w:bCs/>
                <w:sz w:val="18"/>
                <w:lang w:eastAsia="en-GB"/>
              </w:rPr>
              <w:t>dML</w:t>
            </w:r>
            <w:proofErr w:type="spellEnd"/>
            <w:r w:rsidRPr="00B91524">
              <w:rPr>
                <w:rFonts w:cs="Arial"/>
                <w:b/>
                <w:bCs/>
                <w:sz w:val="18"/>
                <w:lang w:eastAsia="en-GB"/>
              </w:rPr>
              <w:t xml:space="preserve"> Condition</w:t>
            </w:r>
          </w:p>
        </w:tc>
        <w:tc>
          <w:tcPr>
            <w:tcW w:w="2748" w:type="pct"/>
            <w:tcBorders>
              <w:top w:val="nil"/>
              <w:left w:val="nil"/>
              <w:bottom w:val="single" w:sz="8" w:space="0" w:color="1D4477"/>
              <w:right w:val="single" w:sz="8" w:space="0" w:color="1D4477"/>
            </w:tcBorders>
            <w:shd w:val="clear" w:color="000000" w:fill="C4D7F0"/>
            <w:vAlign w:val="center"/>
            <w:hideMark/>
          </w:tcPr>
          <w:p w14:paraId="6C1494F7" w14:textId="77777777" w:rsidR="009B6FEE" w:rsidRPr="00B91524" w:rsidRDefault="009B6FEE" w:rsidP="009B6FEE">
            <w:pPr>
              <w:spacing w:after="0"/>
              <w:rPr>
                <w:rFonts w:cs="Arial"/>
                <w:b/>
                <w:bCs/>
                <w:color w:val="000000"/>
                <w:sz w:val="18"/>
                <w:szCs w:val="18"/>
                <w:lang w:eastAsia="en-GB"/>
              </w:rPr>
            </w:pPr>
            <w:r w:rsidRPr="00B91524">
              <w:rPr>
                <w:rFonts w:cs="Arial"/>
                <w:b/>
                <w:bCs/>
                <w:sz w:val="18"/>
                <w:lang w:eastAsia="en-GB"/>
              </w:rPr>
              <w:t>In Full or Part discharge</w:t>
            </w:r>
          </w:p>
        </w:tc>
      </w:tr>
      <w:tr w:rsidR="009B6FEE" w:rsidRPr="00B91524" w14:paraId="04352B41" w14:textId="77777777" w:rsidTr="00504BCF">
        <w:trPr>
          <w:trHeight w:val="556"/>
        </w:trPr>
        <w:tc>
          <w:tcPr>
            <w:tcW w:w="2252" w:type="pct"/>
            <w:tcBorders>
              <w:top w:val="nil"/>
              <w:left w:val="single" w:sz="8" w:space="0" w:color="1D4477"/>
              <w:bottom w:val="single" w:sz="8" w:space="0" w:color="1D4477"/>
              <w:right w:val="single" w:sz="8" w:space="0" w:color="1D4477"/>
            </w:tcBorders>
            <w:shd w:val="clear" w:color="000000" w:fill="C4D7F0"/>
            <w:vAlign w:val="center"/>
            <w:hideMark/>
          </w:tcPr>
          <w:p w14:paraId="61231A30" w14:textId="77777777" w:rsidR="009B6FEE" w:rsidRPr="00B91524" w:rsidRDefault="009B6FEE" w:rsidP="009B6FEE">
            <w:pPr>
              <w:spacing w:after="0"/>
              <w:rPr>
                <w:rFonts w:cs="Arial"/>
                <w:color w:val="000000"/>
                <w:sz w:val="18"/>
                <w:szCs w:val="18"/>
                <w:lang w:eastAsia="en-GB"/>
              </w:rPr>
            </w:pPr>
            <w:r w:rsidRPr="00B91524">
              <w:rPr>
                <w:rFonts w:cs="Arial"/>
                <w:sz w:val="18"/>
                <w:lang w:eastAsia="en-GB"/>
              </w:rPr>
              <w:t>Pre-construction plans and documentation: Detailed Construction and Monitoring Programme 16(b)(iii)</w:t>
            </w:r>
          </w:p>
        </w:tc>
        <w:tc>
          <w:tcPr>
            <w:tcW w:w="2748" w:type="pct"/>
            <w:tcBorders>
              <w:top w:val="nil"/>
              <w:left w:val="nil"/>
              <w:bottom w:val="single" w:sz="8" w:space="0" w:color="1D4477"/>
              <w:right w:val="single" w:sz="8" w:space="0" w:color="1D4477"/>
            </w:tcBorders>
            <w:shd w:val="clear" w:color="000000" w:fill="C4D7F0"/>
            <w:vAlign w:val="center"/>
            <w:hideMark/>
          </w:tcPr>
          <w:p w14:paraId="1AB09AF3" w14:textId="77777777" w:rsidR="009B6FEE" w:rsidRPr="00B91524" w:rsidRDefault="009B6FEE" w:rsidP="009B6FEE">
            <w:pPr>
              <w:spacing w:after="0"/>
              <w:rPr>
                <w:rFonts w:cs="Arial"/>
                <w:color w:val="000000"/>
                <w:sz w:val="18"/>
                <w:szCs w:val="18"/>
                <w:lang w:eastAsia="en-GB"/>
              </w:rPr>
            </w:pPr>
            <w:r w:rsidRPr="00B91524">
              <w:rPr>
                <w:rFonts w:cs="Arial"/>
                <w:sz w:val="18"/>
                <w:lang w:eastAsia="en-GB"/>
              </w:rPr>
              <w:t>Part</w:t>
            </w:r>
          </w:p>
        </w:tc>
      </w:tr>
      <w:tr w:rsidR="009B6FEE" w:rsidRPr="00B91524" w14:paraId="21FF4CCA" w14:textId="77777777" w:rsidTr="00504BCF">
        <w:trPr>
          <w:trHeight w:val="422"/>
        </w:trPr>
        <w:tc>
          <w:tcPr>
            <w:tcW w:w="2252" w:type="pct"/>
            <w:tcBorders>
              <w:top w:val="nil"/>
              <w:left w:val="single" w:sz="8" w:space="0" w:color="1D4477"/>
              <w:bottom w:val="single" w:sz="8" w:space="0" w:color="1D4477"/>
              <w:right w:val="single" w:sz="8" w:space="0" w:color="1D4477"/>
            </w:tcBorders>
            <w:shd w:val="clear" w:color="000000" w:fill="C4D7F0"/>
            <w:vAlign w:val="center"/>
            <w:hideMark/>
          </w:tcPr>
          <w:p w14:paraId="06C92154" w14:textId="77777777" w:rsidR="009B6FEE" w:rsidRPr="00B91524" w:rsidRDefault="009B6FEE" w:rsidP="009B6FEE">
            <w:pPr>
              <w:spacing w:after="0"/>
              <w:rPr>
                <w:rFonts w:cs="Arial"/>
                <w:color w:val="000000"/>
                <w:sz w:val="18"/>
                <w:szCs w:val="18"/>
                <w:lang w:eastAsia="en-GB"/>
              </w:rPr>
            </w:pPr>
            <w:r w:rsidRPr="00B91524">
              <w:rPr>
                <w:rFonts w:cs="Arial"/>
                <w:sz w:val="18"/>
                <w:lang w:eastAsia="en-GB"/>
              </w:rPr>
              <w:t xml:space="preserve">Pre-construction monitoring 19(2)(a), </w:t>
            </w:r>
          </w:p>
        </w:tc>
        <w:tc>
          <w:tcPr>
            <w:tcW w:w="2748" w:type="pct"/>
            <w:tcBorders>
              <w:top w:val="nil"/>
              <w:left w:val="nil"/>
              <w:bottom w:val="single" w:sz="8" w:space="0" w:color="1D4477"/>
              <w:right w:val="single" w:sz="8" w:space="0" w:color="1D4477"/>
            </w:tcBorders>
            <w:shd w:val="clear" w:color="000000" w:fill="C4D7F0"/>
            <w:vAlign w:val="center"/>
            <w:hideMark/>
          </w:tcPr>
          <w:p w14:paraId="6D103648" w14:textId="77777777" w:rsidR="009B6FEE" w:rsidRPr="00B91524" w:rsidRDefault="009B6FEE" w:rsidP="009B6FEE">
            <w:pPr>
              <w:spacing w:after="0"/>
              <w:rPr>
                <w:rFonts w:cs="Arial"/>
                <w:color w:val="000000"/>
                <w:sz w:val="18"/>
                <w:szCs w:val="18"/>
                <w:lang w:eastAsia="en-GB"/>
              </w:rPr>
            </w:pPr>
            <w:r w:rsidRPr="00B91524">
              <w:rPr>
                <w:rFonts w:cs="Arial"/>
                <w:sz w:val="18"/>
                <w:lang w:eastAsia="en-GB"/>
              </w:rPr>
              <w:t>Full</w:t>
            </w:r>
          </w:p>
        </w:tc>
      </w:tr>
      <w:tr w:rsidR="009B6FEE" w:rsidRPr="00B91524" w14:paraId="0E1944AC" w14:textId="77777777" w:rsidTr="00504BCF">
        <w:trPr>
          <w:trHeight w:val="385"/>
        </w:trPr>
        <w:tc>
          <w:tcPr>
            <w:tcW w:w="2252" w:type="pct"/>
            <w:tcBorders>
              <w:top w:val="nil"/>
              <w:left w:val="single" w:sz="8" w:space="0" w:color="1D4477"/>
              <w:bottom w:val="single" w:sz="8" w:space="0" w:color="1D4477"/>
              <w:right w:val="single" w:sz="8" w:space="0" w:color="1D4477"/>
            </w:tcBorders>
            <w:shd w:val="clear" w:color="000000" w:fill="C4D7F0"/>
            <w:vAlign w:val="center"/>
            <w:hideMark/>
          </w:tcPr>
          <w:p w14:paraId="5A3192C2" w14:textId="77777777" w:rsidR="009B6FEE" w:rsidRPr="00B91524" w:rsidRDefault="009B6FEE" w:rsidP="009B6FEE">
            <w:pPr>
              <w:spacing w:after="0"/>
              <w:rPr>
                <w:rFonts w:cs="Arial"/>
                <w:color w:val="000000"/>
                <w:sz w:val="18"/>
                <w:szCs w:val="18"/>
                <w:lang w:eastAsia="en-GB"/>
              </w:rPr>
            </w:pPr>
            <w:r w:rsidRPr="00B91524">
              <w:rPr>
                <w:rFonts w:cs="Arial"/>
                <w:sz w:val="18"/>
                <w:lang w:eastAsia="en-GB"/>
              </w:rPr>
              <w:t>Post-construction surveys 21(2)(b)</w:t>
            </w:r>
          </w:p>
        </w:tc>
        <w:tc>
          <w:tcPr>
            <w:tcW w:w="2748" w:type="pct"/>
            <w:tcBorders>
              <w:top w:val="nil"/>
              <w:left w:val="nil"/>
              <w:bottom w:val="single" w:sz="8" w:space="0" w:color="1D4477"/>
              <w:right w:val="single" w:sz="8" w:space="0" w:color="1D4477"/>
            </w:tcBorders>
            <w:shd w:val="clear" w:color="000000" w:fill="C4D7F0"/>
            <w:vAlign w:val="center"/>
            <w:hideMark/>
          </w:tcPr>
          <w:p w14:paraId="3AD81137" w14:textId="77777777" w:rsidR="009B6FEE" w:rsidRPr="00B91524" w:rsidRDefault="009B6FEE" w:rsidP="009B6FEE">
            <w:pPr>
              <w:spacing w:after="0"/>
              <w:rPr>
                <w:rFonts w:cs="Arial"/>
                <w:color w:val="000000"/>
                <w:sz w:val="18"/>
                <w:szCs w:val="18"/>
                <w:lang w:eastAsia="en-GB"/>
              </w:rPr>
            </w:pPr>
            <w:r w:rsidRPr="00B91524">
              <w:rPr>
                <w:rFonts w:cs="Arial"/>
                <w:sz w:val="18"/>
                <w:lang w:eastAsia="en-GB"/>
              </w:rPr>
              <w:t>Full</w:t>
            </w:r>
          </w:p>
        </w:tc>
      </w:tr>
    </w:tbl>
    <w:p w14:paraId="206620D6" w14:textId="77B0AC23" w:rsidR="00C069CB" w:rsidRPr="00B91524" w:rsidRDefault="00504BCF">
      <w:pPr>
        <w:pStyle w:val="Heading2"/>
        <w:rPr>
          <w:lang w:eastAsia="en-GB"/>
        </w:rPr>
      </w:pPr>
      <w:bookmarkStart w:id="7" w:name="_Toc61527442"/>
      <w:bookmarkStart w:id="8" w:name="_Ref46089056"/>
      <w:bookmarkStart w:id="9" w:name="_Ref46089768"/>
      <w:bookmarkStart w:id="10" w:name="_Toc74670313"/>
      <w:bookmarkEnd w:id="7"/>
      <w:r w:rsidRPr="00B91524">
        <w:rPr>
          <w:lang w:eastAsia="en-GB"/>
        </w:rPr>
        <w:lastRenderedPageBreak/>
        <w:t>Monitoring Requirements</w:t>
      </w:r>
      <w:bookmarkEnd w:id="8"/>
      <w:bookmarkEnd w:id="9"/>
      <w:bookmarkEnd w:id="10"/>
    </w:p>
    <w:p w14:paraId="39ACD246" w14:textId="2844A6E8" w:rsidR="008B4FBD" w:rsidRPr="00B91524" w:rsidRDefault="00504BCF" w:rsidP="007908D8">
      <w:pPr>
        <w:pStyle w:val="Reportbodytextnumbering"/>
      </w:pPr>
      <w:r w:rsidRPr="00B91524">
        <w:t xml:space="preserve">The </w:t>
      </w:r>
      <w:proofErr w:type="spellStart"/>
      <w:r w:rsidRPr="00B91524">
        <w:t>dML</w:t>
      </w:r>
      <w:r w:rsidR="003F0136" w:rsidRPr="00B91524">
        <w:t>s</w:t>
      </w:r>
      <w:proofErr w:type="spellEnd"/>
      <w:r w:rsidRPr="00B91524">
        <w:t xml:space="preserve"> stipulate the requirements for benthic monitoring for the Project with further information set out in the IPMP and Chapter 12 of the ES</w:t>
      </w:r>
      <w:r w:rsidR="00F51211" w:rsidRPr="00B91524">
        <w:t xml:space="preserve"> (</w:t>
      </w:r>
      <w:proofErr w:type="spellStart"/>
      <w:r w:rsidR="00F51211" w:rsidRPr="00B91524">
        <w:t>Forewind</w:t>
      </w:r>
      <w:proofErr w:type="spellEnd"/>
      <w:r w:rsidR="00F51211" w:rsidRPr="00B91524">
        <w:t xml:space="preserve"> 2014)</w:t>
      </w:r>
      <w:r w:rsidRPr="00B91524">
        <w:t xml:space="preserve">. </w:t>
      </w:r>
      <w:r w:rsidR="009F50CE" w:rsidRPr="00B91524">
        <w:fldChar w:fldCharType="begin"/>
      </w:r>
      <w:r w:rsidR="009F50CE" w:rsidRPr="00B91524">
        <w:instrText xml:space="preserve"> REF _Ref46056452 \h </w:instrText>
      </w:r>
      <w:r w:rsidR="00B91524">
        <w:instrText xml:space="preserve"> \* MERGEFORMAT </w:instrText>
      </w:r>
      <w:r w:rsidR="009F50CE" w:rsidRPr="00B91524">
        <w:fldChar w:fldCharType="separate"/>
      </w:r>
      <w:r w:rsidR="00683595" w:rsidRPr="00B91524">
        <w:t xml:space="preserve">Table </w:t>
      </w:r>
      <w:r w:rsidR="00683595">
        <w:rPr>
          <w:noProof/>
        </w:rPr>
        <w:t>1</w:t>
      </w:r>
      <w:r w:rsidR="00683595" w:rsidRPr="00B91524">
        <w:rPr>
          <w:noProof/>
        </w:rPr>
        <w:noBreakHyphen/>
      </w:r>
      <w:r w:rsidR="00683595">
        <w:rPr>
          <w:noProof/>
        </w:rPr>
        <w:t>2</w:t>
      </w:r>
      <w:r w:rsidR="009F50CE" w:rsidRPr="00B91524">
        <w:fldChar w:fldCharType="end"/>
      </w:r>
      <w:r w:rsidR="009F50CE" w:rsidRPr="00B91524">
        <w:t xml:space="preserve"> </w:t>
      </w:r>
      <w:r w:rsidR="00C069CB" w:rsidRPr="00B91524">
        <w:t xml:space="preserve">sets out the detail of Conditions 16(b), 21(2) and 23(2) of </w:t>
      </w:r>
      <w:proofErr w:type="spellStart"/>
      <w:r w:rsidR="00C069CB" w:rsidRPr="00B91524">
        <w:t>dML</w:t>
      </w:r>
      <w:proofErr w:type="spellEnd"/>
      <w:r w:rsidR="00C069CB" w:rsidRPr="00B91524">
        <w:t xml:space="preserve"> Schedule 9 (Offshore Generation) (Variation No. 2, April 2019) </w:t>
      </w:r>
      <w:r w:rsidR="00E25BAE" w:rsidRPr="00B91524">
        <w:t>and</w:t>
      </w:r>
      <w:r w:rsidR="008B4FBD" w:rsidRPr="00B91524">
        <w:t xml:space="preserve"> of Conditions 14(b), 19(2) and 21(2) of </w:t>
      </w:r>
      <w:proofErr w:type="spellStart"/>
      <w:r w:rsidR="008B4FBD" w:rsidRPr="00B91524">
        <w:t>dML</w:t>
      </w:r>
      <w:proofErr w:type="spellEnd"/>
      <w:r w:rsidR="008B4FBD" w:rsidRPr="00B91524">
        <w:t xml:space="preserve"> Schedule 11 (Offshore Transmission) (Variation No. 2, April 2019) relevant to the BMP. </w:t>
      </w:r>
    </w:p>
    <w:p w14:paraId="6FEEDEE6" w14:textId="7A2C1A0C" w:rsidR="00504BCF" w:rsidRPr="00B91524" w:rsidRDefault="00504BCF" w:rsidP="007908D8">
      <w:pPr>
        <w:pStyle w:val="Reportbodytextnumbering"/>
      </w:pPr>
      <w:r w:rsidRPr="00B91524">
        <w:t xml:space="preserve">The </w:t>
      </w:r>
      <w:r w:rsidR="008B4FBD" w:rsidRPr="00B91524">
        <w:t xml:space="preserve">monitoring </w:t>
      </w:r>
      <w:r w:rsidRPr="00B91524">
        <w:t xml:space="preserve">requirements fall into two main </w:t>
      </w:r>
      <w:r w:rsidR="008B4FBD" w:rsidRPr="00B91524">
        <w:t>categories</w:t>
      </w:r>
      <w:r w:rsidR="00F85C60" w:rsidRPr="00B91524">
        <w:t xml:space="preserve"> </w:t>
      </w:r>
      <w:r w:rsidRPr="00B91524">
        <w:t>- those relating to benthic habitats of conservation, ecological or economic importance (</w:t>
      </w:r>
      <w:proofErr w:type="spellStart"/>
      <w:r w:rsidR="00B03DED" w:rsidRPr="00B91524">
        <w:t>BHo</w:t>
      </w:r>
      <w:r w:rsidRPr="00B91524">
        <w:t>CEEI</w:t>
      </w:r>
      <w:proofErr w:type="spellEnd"/>
      <w:r w:rsidRPr="00B91524">
        <w:t xml:space="preserve">) (including Annex </w:t>
      </w:r>
      <w:r w:rsidR="00E25BAE" w:rsidRPr="00B91524">
        <w:t>I</w:t>
      </w:r>
      <w:r w:rsidRPr="00B91524">
        <w:t xml:space="preserve"> habitats) and other monitoring targeting particular receptors or focusing on potential impacts that were identified in the ES.</w:t>
      </w:r>
      <w:r w:rsidR="00B03DED" w:rsidRPr="00B91524">
        <w:t xml:space="preserve"> The first category (</w:t>
      </w:r>
      <w:proofErr w:type="spellStart"/>
      <w:r w:rsidR="00B03DED" w:rsidRPr="00B91524">
        <w:t>BHoCEEI</w:t>
      </w:r>
      <w:proofErr w:type="spellEnd"/>
      <w:r w:rsidR="00B03DED" w:rsidRPr="00B91524">
        <w:t xml:space="preserve">) can be subdivided into sediment habitats (e.g. sandbanks) and reef habitats (e.g. </w:t>
      </w:r>
      <w:proofErr w:type="spellStart"/>
      <w:r w:rsidR="00B03DED" w:rsidRPr="00B91524">
        <w:rPr>
          <w:i/>
          <w:iCs/>
        </w:rPr>
        <w:t>Sabellaria</w:t>
      </w:r>
      <w:proofErr w:type="spellEnd"/>
      <w:r w:rsidR="00B03DED" w:rsidRPr="00B91524">
        <w:t xml:space="preserve"> </w:t>
      </w:r>
      <w:r w:rsidR="00B03DED" w:rsidRPr="00B91524">
        <w:rPr>
          <w:i/>
          <w:iCs/>
        </w:rPr>
        <w:t xml:space="preserve">spinulosa </w:t>
      </w:r>
      <w:r w:rsidR="00B03DED" w:rsidRPr="00B91524">
        <w:t>or stony reefs)</w:t>
      </w:r>
      <w:r w:rsidR="00437B30" w:rsidRPr="00B91524">
        <w:t xml:space="preserve"> occur</w:t>
      </w:r>
      <w:r w:rsidR="00EB32E7" w:rsidRPr="00B91524">
        <w:t>ring</w:t>
      </w:r>
      <w:r w:rsidR="00437B30" w:rsidRPr="00B91524">
        <w:t xml:space="preserve"> within the order limits </w:t>
      </w:r>
      <w:r w:rsidR="00AD0968" w:rsidRPr="00B91524">
        <w:t>whereas</w:t>
      </w:r>
      <w:r w:rsidR="00E25BAE" w:rsidRPr="00B91524">
        <w:t xml:space="preserve"> the second category comprises requirements for monitoring of drill disposal mounds, invasive non-native species (INNS) and </w:t>
      </w:r>
      <w:r w:rsidR="00AE2CB5" w:rsidRPr="00B91524">
        <w:t xml:space="preserve">wider community type structure. </w:t>
      </w:r>
      <w:r w:rsidR="00EB32E7" w:rsidRPr="00B91524">
        <w:fldChar w:fldCharType="begin"/>
      </w:r>
      <w:r w:rsidR="00EB32E7" w:rsidRPr="00B91524">
        <w:instrText xml:space="preserve"> REF _Ref45269536 \h </w:instrText>
      </w:r>
      <w:r w:rsidR="00B91524">
        <w:instrText xml:space="preserve"> \* MERGEFORMAT </w:instrText>
      </w:r>
      <w:r w:rsidR="00EB32E7" w:rsidRPr="00B91524">
        <w:fldChar w:fldCharType="separate"/>
      </w:r>
      <w:r w:rsidR="00683595" w:rsidRPr="00B91524">
        <w:t xml:space="preserve">Table </w:t>
      </w:r>
      <w:r w:rsidR="00683595">
        <w:rPr>
          <w:noProof/>
        </w:rPr>
        <w:t>1</w:t>
      </w:r>
      <w:r w:rsidR="00683595" w:rsidRPr="00B91524">
        <w:rPr>
          <w:noProof/>
        </w:rPr>
        <w:noBreakHyphen/>
      </w:r>
      <w:r w:rsidR="00683595">
        <w:rPr>
          <w:noProof/>
        </w:rPr>
        <w:t>3</w:t>
      </w:r>
      <w:r w:rsidR="00EB32E7" w:rsidRPr="00B91524">
        <w:fldChar w:fldCharType="end"/>
      </w:r>
      <w:r w:rsidR="00A41B39" w:rsidRPr="00B91524">
        <w:t xml:space="preserve"> sets out each of these </w:t>
      </w:r>
      <w:r w:rsidR="00C91161" w:rsidRPr="00B91524">
        <w:t>Features of Focus (</w:t>
      </w:r>
      <w:proofErr w:type="spellStart"/>
      <w:r w:rsidR="00C91161" w:rsidRPr="00B91524">
        <w:t>FoF</w:t>
      </w:r>
      <w:proofErr w:type="spellEnd"/>
      <w:r w:rsidR="00C91161" w:rsidRPr="00B91524">
        <w:t xml:space="preserve">) </w:t>
      </w:r>
      <w:r w:rsidR="00A41B39" w:rsidRPr="00B91524">
        <w:t xml:space="preserve">and the requirements of the surveys described in the following sections. </w:t>
      </w:r>
    </w:p>
    <w:p w14:paraId="725FF253" w14:textId="78AE6FDB" w:rsidR="00DD1664" w:rsidRPr="00B91524" w:rsidRDefault="0047245A" w:rsidP="007908D8">
      <w:pPr>
        <w:pStyle w:val="Reportbodytextnumbering"/>
      </w:pPr>
      <w:r w:rsidRPr="00B91524">
        <w:t xml:space="preserve">It should be noted that this BMP should be read in conjunction with the SOWFL Geophysical (Bathymetrical) Monitoring Plan </w:t>
      </w:r>
      <w:r w:rsidR="00DD1664" w:rsidRPr="00B91524">
        <w:t xml:space="preserve">(GMP) </w:t>
      </w:r>
      <w:r w:rsidRPr="00B91524">
        <w:t>(SOWFL, 2019a) (approved by the MMO in December 2019)</w:t>
      </w:r>
      <w:r w:rsidR="00DD1664" w:rsidRPr="00B91524">
        <w:t>. T</w:t>
      </w:r>
      <w:r w:rsidRPr="00B91524">
        <w:t>he data gathered during the geophysical surveys</w:t>
      </w:r>
      <w:r w:rsidR="00EA79EF" w:rsidRPr="00B91524">
        <w:t>, as</w:t>
      </w:r>
      <w:r w:rsidRPr="00B91524">
        <w:t xml:space="preserve"> </w:t>
      </w:r>
      <w:r w:rsidR="00DD1664" w:rsidRPr="00B91524">
        <w:t>set out in the GMP</w:t>
      </w:r>
      <w:r w:rsidR="00EA79EF" w:rsidRPr="00B91524">
        <w:t>,</w:t>
      </w:r>
      <w:r w:rsidR="00DD1664" w:rsidRPr="00B91524">
        <w:t xml:space="preserve"> </w:t>
      </w:r>
      <w:r w:rsidRPr="00B91524">
        <w:t xml:space="preserve">will be used in conjunction with the </w:t>
      </w:r>
      <w:r w:rsidR="00DD1664" w:rsidRPr="00B91524">
        <w:t xml:space="preserve">benthic </w:t>
      </w:r>
      <w:r w:rsidRPr="00B91524">
        <w:t>s</w:t>
      </w:r>
      <w:r w:rsidR="00DD1664" w:rsidRPr="00B91524">
        <w:t xml:space="preserve">urvey approaches </w:t>
      </w:r>
      <w:r w:rsidRPr="00B91524">
        <w:t xml:space="preserve">described in the following sections to </w:t>
      </w:r>
      <w:r w:rsidR="00DD1664" w:rsidRPr="00B91524">
        <w:t xml:space="preserve">discharge the </w:t>
      </w:r>
      <w:proofErr w:type="spellStart"/>
      <w:r w:rsidR="00DD1664" w:rsidRPr="00B91524">
        <w:t>dML</w:t>
      </w:r>
      <w:proofErr w:type="spellEnd"/>
      <w:r w:rsidR="00DD1664" w:rsidRPr="00B91524">
        <w:t xml:space="preserve"> conditions relevant to benthic ecology (namely mapping the </w:t>
      </w:r>
      <w:r w:rsidR="00E23EF4" w:rsidRPr="00B91524">
        <w:t xml:space="preserve">location and </w:t>
      </w:r>
      <w:r w:rsidR="00DD1664" w:rsidRPr="00B91524">
        <w:t xml:space="preserve">extent of Annex I </w:t>
      </w:r>
      <w:r w:rsidR="00E23EF4" w:rsidRPr="00B91524">
        <w:t>habitats</w:t>
      </w:r>
      <w:r w:rsidR="00DD1664" w:rsidRPr="00B91524">
        <w:t xml:space="preserve">), drill disposal mounds </w:t>
      </w:r>
      <w:r w:rsidR="0090465B" w:rsidRPr="00B91524">
        <w:t xml:space="preserve">(if required) </w:t>
      </w:r>
      <w:r w:rsidR="00DD1664" w:rsidRPr="00B91524">
        <w:t xml:space="preserve">and geophysical monitoring.  </w:t>
      </w:r>
    </w:p>
    <w:p w14:paraId="738DD3F2" w14:textId="02B136AB" w:rsidR="000A00B4" w:rsidRPr="00B91524" w:rsidRDefault="00EF3EDC" w:rsidP="00EF3EDC">
      <w:pPr>
        <w:pStyle w:val="Reportbodytextnumbering"/>
        <w:rPr>
          <w:lang w:eastAsia="en-US"/>
        </w:rPr>
      </w:pPr>
      <w:r w:rsidRPr="00B91524">
        <w:t xml:space="preserve">It should also be noted that since cumulative impacts from SOWF and DBWF were not predicted in the ES, the monitoring set out in this BMP is focused on key </w:t>
      </w:r>
      <w:proofErr w:type="spellStart"/>
      <w:r w:rsidRPr="00B91524">
        <w:t>FoF</w:t>
      </w:r>
      <w:proofErr w:type="spellEnd"/>
      <w:r w:rsidRPr="00B91524">
        <w:t xml:space="preserve"> rather than aimed at assessing regional scale cumulative impacts</w:t>
      </w:r>
      <w:r w:rsidR="00AD5199" w:rsidRPr="00B91524">
        <w:t xml:space="preserve"> although </w:t>
      </w:r>
      <w:r w:rsidR="003952E6" w:rsidRPr="00B91524">
        <w:t xml:space="preserve">broad scale regional impacts will be monitored as part of the SRI’s long-term </w:t>
      </w:r>
      <w:r w:rsidR="00094021" w:rsidRPr="00B91524">
        <w:t xml:space="preserve">monitoring of the wider Dogger Bank (see Section </w:t>
      </w:r>
      <w:r w:rsidR="00C45C03" w:rsidRPr="00B91524">
        <w:fldChar w:fldCharType="begin"/>
      </w:r>
      <w:r w:rsidR="00C45C03" w:rsidRPr="00B91524">
        <w:instrText xml:space="preserve"> REF _Ref48648357 \r \h </w:instrText>
      </w:r>
      <w:r w:rsidR="00790D33" w:rsidRPr="00B91524">
        <w:instrText xml:space="preserve"> \* MERGEFORMAT </w:instrText>
      </w:r>
      <w:r w:rsidR="00C45C03" w:rsidRPr="00B91524">
        <w:fldChar w:fldCharType="separate"/>
      </w:r>
      <w:r w:rsidR="00683595">
        <w:t>3.8</w:t>
      </w:r>
      <w:r w:rsidR="00C45C03" w:rsidRPr="00B91524">
        <w:fldChar w:fldCharType="end"/>
      </w:r>
      <w:r w:rsidR="00094021" w:rsidRPr="00B91524">
        <w:t>)</w:t>
      </w:r>
      <w:r w:rsidRPr="00B91524">
        <w:t>.</w:t>
      </w:r>
      <w:r w:rsidRPr="00B91524">
        <w:rPr>
          <w:lang w:eastAsia="en-US"/>
        </w:rPr>
        <w:t xml:space="preserve"> </w:t>
      </w:r>
    </w:p>
    <w:p w14:paraId="2132B471" w14:textId="497EBB32" w:rsidR="00962F37" w:rsidRPr="00B91524" w:rsidRDefault="00962F37" w:rsidP="00962F37">
      <w:pPr>
        <w:pStyle w:val="Caption"/>
      </w:pPr>
      <w:bookmarkStart w:id="11" w:name="_Ref46056452"/>
      <w:bookmarkStart w:id="12" w:name="_Toc61597201"/>
      <w:bookmarkStart w:id="13" w:name="_Toc40643759"/>
      <w:r w:rsidRPr="00B91524">
        <w:t xml:space="preserve">Table </w:t>
      </w:r>
      <w:r w:rsidR="00683595">
        <w:fldChar w:fldCharType="begin"/>
      </w:r>
      <w:r w:rsidR="00683595">
        <w:instrText xml:space="preserve"> STYLEREF 1 \s </w:instrText>
      </w:r>
      <w:r w:rsidR="00683595">
        <w:fldChar w:fldCharType="separate"/>
      </w:r>
      <w:r w:rsidR="00683595">
        <w:rPr>
          <w:noProof/>
        </w:rPr>
        <w:t>1</w:t>
      </w:r>
      <w:r w:rsidR="00683595">
        <w:rPr>
          <w:noProof/>
        </w:rPr>
        <w:fldChar w:fldCharType="end"/>
      </w:r>
      <w:r w:rsidR="00C82285" w:rsidRPr="00B91524">
        <w:noBreakHyphen/>
      </w:r>
      <w:r w:rsidR="00683595">
        <w:fldChar w:fldCharType="begin"/>
      </w:r>
      <w:r w:rsidR="00683595">
        <w:instrText xml:space="preserve"> SEQ Table \* ARABIC \s 1 </w:instrText>
      </w:r>
      <w:r w:rsidR="00683595">
        <w:fldChar w:fldCharType="separate"/>
      </w:r>
      <w:r w:rsidR="00683595">
        <w:rPr>
          <w:noProof/>
        </w:rPr>
        <w:t>2</w:t>
      </w:r>
      <w:r w:rsidR="00683595">
        <w:rPr>
          <w:noProof/>
        </w:rPr>
        <w:fldChar w:fldCharType="end"/>
      </w:r>
      <w:bookmarkEnd w:id="11"/>
      <w:r w:rsidRPr="00B91524">
        <w:t xml:space="preserve"> Pre- and Post-Construction Plans and Documents: Relevant Deemed Marine Licence Conditions</w:t>
      </w:r>
      <w:bookmarkEnd w:id="12"/>
      <w:r w:rsidRPr="00B91524">
        <w:t xml:space="preserve"> </w:t>
      </w:r>
      <w:bookmarkEnd w:id="13"/>
    </w:p>
    <w:tbl>
      <w:tblPr>
        <w:tblW w:w="5001" w:type="pct"/>
        <w:tblLook w:val="04A0" w:firstRow="1" w:lastRow="0" w:firstColumn="1" w:lastColumn="0" w:noHBand="0" w:noVBand="1"/>
      </w:tblPr>
      <w:tblGrid>
        <w:gridCol w:w="9738"/>
      </w:tblGrid>
      <w:tr w:rsidR="000A00B4" w:rsidRPr="00B91524" w14:paraId="43063458" w14:textId="77777777" w:rsidTr="005D2E02">
        <w:trPr>
          <w:trHeight w:val="364"/>
          <w:tblHeader/>
        </w:trPr>
        <w:tc>
          <w:tcPr>
            <w:tcW w:w="5000" w:type="pct"/>
            <w:tcBorders>
              <w:top w:val="single" w:sz="8" w:space="0" w:color="auto"/>
              <w:left w:val="single" w:sz="8" w:space="0" w:color="auto"/>
              <w:bottom w:val="single" w:sz="8" w:space="0" w:color="auto"/>
              <w:right w:val="single" w:sz="8" w:space="0" w:color="auto"/>
            </w:tcBorders>
            <w:shd w:val="clear" w:color="000000" w:fill="1D4477"/>
            <w:vAlign w:val="center"/>
            <w:hideMark/>
          </w:tcPr>
          <w:p w14:paraId="73F61811" w14:textId="5482300B" w:rsidR="000A00B4" w:rsidRPr="00B91524" w:rsidRDefault="000A00B4" w:rsidP="000A00B4">
            <w:pPr>
              <w:spacing w:after="0"/>
              <w:jc w:val="center"/>
              <w:rPr>
                <w:rFonts w:cs="Arial"/>
                <w:b/>
                <w:bCs/>
                <w:color w:val="FFFFFF"/>
                <w:sz w:val="18"/>
                <w:szCs w:val="18"/>
                <w:lang w:eastAsia="en-GB"/>
              </w:rPr>
            </w:pPr>
            <w:bookmarkStart w:id="14" w:name="_Toc40643760"/>
            <w:r w:rsidRPr="00B91524">
              <w:rPr>
                <w:rFonts w:cs="Arial"/>
                <w:b/>
                <w:bCs/>
                <w:color w:val="FFFFFF"/>
                <w:sz w:val="18"/>
                <w:szCs w:val="18"/>
                <w:lang w:eastAsia="en-GB"/>
              </w:rPr>
              <w:t xml:space="preserve">DCO Schedule 9: </w:t>
            </w:r>
            <w:r w:rsidR="00876F24" w:rsidRPr="00B91524">
              <w:rPr>
                <w:rFonts w:cs="Arial"/>
                <w:b/>
                <w:bCs/>
                <w:color w:val="FFFFFF"/>
                <w:sz w:val="18"/>
                <w:szCs w:val="18"/>
                <w:lang w:eastAsia="en-GB"/>
              </w:rPr>
              <w:t>ML</w:t>
            </w:r>
            <w:r w:rsidRPr="00B91524">
              <w:rPr>
                <w:rFonts w:cs="Arial"/>
                <w:b/>
                <w:bCs/>
                <w:color w:val="FFFFFF"/>
                <w:sz w:val="18"/>
                <w:szCs w:val="18"/>
                <w:lang w:eastAsia="en-GB"/>
              </w:rPr>
              <w:t xml:space="preserve"> 2: Project B (SOWF) Offshore Generation – Work Nos. 1B and 2T: Part 2 (as varied in 2019)</w:t>
            </w:r>
          </w:p>
        </w:tc>
      </w:tr>
      <w:tr w:rsidR="000A00B4" w:rsidRPr="00B91524" w14:paraId="50C1354D" w14:textId="77777777" w:rsidTr="00876F24">
        <w:trPr>
          <w:trHeight w:val="361"/>
        </w:trPr>
        <w:tc>
          <w:tcPr>
            <w:tcW w:w="5000" w:type="pct"/>
            <w:tcBorders>
              <w:top w:val="nil"/>
              <w:left w:val="single" w:sz="8" w:space="0" w:color="1D4477"/>
              <w:bottom w:val="nil"/>
              <w:right w:val="single" w:sz="8" w:space="0" w:color="1D4477"/>
            </w:tcBorders>
            <w:shd w:val="clear" w:color="000000" w:fill="C4D7F0"/>
            <w:vAlign w:val="center"/>
            <w:hideMark/>
          </w:tcPr>
          <w:p w14:paraId="6012EAA9" w14:textId="77777777" w:rsidR="000A00B4" w:rsidRPr="00B91524" w:rsidRDefault="000A00B4" w:rsidP="000A00B4">
            <w:pPr>
              <w:spacing w:after="0"/>
              <w:rPr>
                <w:rFonts w:cs="Arial"/>
                <w:b/>
                <w:bCs/>
                <w:i/>
                <w:iCs/>
                <w:color w:val="000000"/>
                <w:sz w:val="18"/>
                <w:szCs w:val="18"/>
                <w:lang w:eastAsia="en-GB"/>
              </w:rPr>
            </w:pPr>
            <w:r w:rsidRPr="00B91524">
              <w:rPr>
                <w:rFonts w:cs="Arial"/>
                <w:b/>
                <w:bCs/>
                <w:i/>
                <w:iCs/>
                <w:color w:val="000000"/>
                <w:sz w:val="18"/>
                <w:szCs w:val="18"/>
                <w:lang w:eastAsia="en-GB"/>
              </w:rPr>
              <w:t>Pre-Construction Plans and Documents</w:t>
            </w:r>
          </w:p>
        </w:tc>
      </w:tr>
      <w:tr w:rsidR="000A00B4" w:rsidRPr="00B91524" w14:paraId="2B6D7021" w14:textId="77777777" w:rsidTr="00876F24">
        <w:trPr>
          <w:trHeight w:val="361"/>
        </w:trPr>
        <w:tc>
          <w:tcPr>
            <w:tcW w:w="5000" w:type="pct"/>
            <w:tcBorders>
              <w:top w:val="nil"/>
              <w:left w:val="single" w:sz="8" w:space="0" w:color="1D4477"/>
              <w:bottom w:val="nil"/>
              <w:right w:val="single" w:sz="8" w:space="0" w:color="1D4477"/>
            </w:tcBorders>
            <w:shd w:val="clear" w:color="000000" w:fill="C4D7F0"/>
            <w:vAlign w:val="center"/>
            <w:hideMark/>
          </w:tcPr>
          <w:p w14:paraId="1F26B7FF" w14:textId="77777777" w:rsidR="000A00B4" w:rsidRPr="00B91524" w:rsidRDefault="000A00B4" w:rsidP="000A00B4">
            <w:pPr>
              <w:spacing w:after="0"/>
              <w:rPr>
                <w:rFonts w:cs="Arial"/>
                <w:b/>
                <w:bCs/>
                <w:i/>
                <w:iCs/>
                <w:color w:val="000000"/>
                <w:sz w:val="18"/>
                <w:szCs w:val="18"/>
                <w:lang w:eastAsia="en-GB"/>
              </w:rPr>
            </w:pPr>
            <w:r w:rsidRPr="00B91524">
              <w:rPr>
                <w:rFonts w:cs="Arial"/>
                <w:b/>
                <w:bCs/>
                <w:i/>
                <w:iCs/>
                <w:color w:val="000000"/>
                <w:sz w:val="18"/>
                <w:szCs w:val="18"/>
                <w:lang w:eastAsia="en-GB"/>
              </w:rPr>
              <w:t>Detailed construction and monitoring programme</w:t>
            </w:r>
          </w:p>
        </w:tc>
      </w:tr>
      <w:tr w:rsidR="000A00B4" w:rsidRPr="00B91524" w14:paraId="06712793" w14:textId="77777777" w:rsidTr="00876F24">
        <w:trPr>
          <w:trHeight w:val="361"/>
        </w:trPr>
        <w:tc>
          <w:tcPr>
            <w:tcW w:w="5000" w:type="pct"/>
            <w:tcBorders>
              <w:top w:val="nil"/>
              <w:left w:val="single" w:sz="8" w:space="0" w:color="1D4477"/>
              <w:bottom w:val="nil"/>
              <w:right w:val="single" w:sz="8" w:space="0" w:color="1D4477"/>
            </w:tcBorders>
            <w:shd w:val="clear" w:color="000000" w:fill="C4D7F0"/>
            <w:vAlign w:val="center"/>
            <w:hideMark/>
          </w:tcPr>
          <w:p w14:paraId="20736833" w14:textId="77777777" w:rsidR="000A00B4" w:rsidRPr="00B91524" w:rsidRDefault="000A00B4" w:rsidP="000A00B4">
            <w:pPr>
              <w:spacing w:after="0"/>
              <w:rPr>
                <w:rFonts w:cs="Arial"/>
                <w:color w:val="000000"/>
                <w:sz w:val="18"/>
                <w:szCs w:val="18"/>
                <w:lang w:eastAsia="en-GB"/>
              </w:rPr>
            </w:pPr>
            <w:r w:rsidRPr="00B91524">
              <w:rPr>
                <w:rFonts w:cs="Arial"/>
                <w:color w:val="000000"/>
                <w:sz w:val="18"/>
                <w:szCs w:val="18"/>
                <w:lang w:eastAsia="en-GB"/>
              </w:rPr>
              <w:t>16(b) a detailed construction and monitoring programme, including details of—</w:t>
            </w:r>
          </w:p>
        </w:tc>
      </w:tr>
      <w:tr w:rsidR="000A00B4" w:rsidRPr="00B91524" w14:paraId="50CE319E" w14:textId="77777777" w:rsidTr="00876F24">
        <w:trPr>
          <w:trHeight w:val="523"/>
        </w:trPr>
        <w:tc>
          <w:tcPr>
            <w:tcW w:w="5000" w:type="pct"/>
            <w:tcBorders>
              <w:top w:val="nil"/>
              <w:left w:val="single" w:sz="8" w:space="0" w:color="1D4477"/>
              <w:bottom w:val="nil"/>
              <w:right w:val="single" w:sz="8" w:space="0" w:color="1D4477"/>
            </w:tcBorders>
            <w:shd w:val="clear" w:color="000000" w:fill="C4D7F0"/>
            <w:vAlign w:val="center"/>
            <w:hideMark/>
          </w:tcPr>
          <w:p w14:paraId="3E07EAF9" w14:textId="77777777" w:rsidR="000A00B4" w:rsidRPr="00B91524" w:rsidRDefault="000A00B4" w:rsidP="000A00B4">
            <w:pPr>
              <w:spacing w:after="0"/>
              <w:rPr>
                <w:rFonts w:cs="Arial"/>
                <w:color w:val="000000"/>
                <w:sz w:val="18"/>
                <w:szCs w:val="18"/>
                <w:lang w:eastAsia="en-GB"/>
              </w:rPr>
            </w:pPr>
            <w:r w:rsidRPr="00B91524">
              <w:rPr>
                <w:rFonts w:cs="Arial"/>
                <w:color w:val="000000"/>
                <w:sz w:val="18"/>
                <w:szCs w:val="18"/>
                <w:lang w:eastAsia="en-GB"/>
              </w:rPr>
              <w:t>(</w:t>
            </w:r>
            <w:proofErr w:type="spellStart"/>
            <w:r w:rsidRPr="00B91524">
              <w:rPr>
                <w:rFonts w:cs="Arial"/>
                <w:color w:val="000000"/>
                <w:sz w:val="18"/>
                <w:szCs w:val="18"/>
                <w:lang w:eastAsia="en-GB"/>
              </w:rPr>
              <w:t>i</w:t>
            </w:r>
            <w:proofErr w:type="spellEnd"/>
            <w:r w:rsidRPr="00B91524">
              <w:rPr>
                <w:rFonts w:cs="Arial"/>
                <w:color w:val="000000"/>
                <w:sz w:val="18"/>
                <w:szCs w:val="18"/>
                <w:lang w:eastAsia="en-GB"/>
              </w:rPr>
              <w:t>) the proposed construction commencement date;</w:t>
            </w:r>
          </w:p>
        </w:tc>
      </w:tr>
      <w:tr w:rsidR="000A00B4" w:rsidRPr="00B91524" w14:paraId="1CA4CEC9" w14:textId="77777777" w:rsidTr="00876F24">
        <w:trPr>
          <w:trHeight w:val="361"/>
        </w:trPr>
        <w:tc>
          <w:tcPr>
            <w:tcW w:w="5000" w:type="pct"/>
            <w:tcBorders>
              <w:top w:val="nil"/>
              <w:left w:val="single" w:sz="8" w:space="0" w:color="1D4477"/>
              <w:bottom w:val="nil"/>
              <w:right w:val="single" w:sz="8" w:space="0" w:color="1D4477"/>
            </w:tcBorders>
            <w:shd w:val="clear" w:color="000000" w:fill="C4D7F0"/>
            <w:vAlign w:val="center"/>
            <w:hideMark/>
          </w:tcPr>
          <w:p w14:paraId="1152481A" w14:textId="77777777" w:rsidR="000A00B4" w:rsidRPr="00B91524" w:rsidRDefault="000A00B4" w:rsidP="000A00B4">
            <w:pPr>
              <w:spacing w:after="0"/>
              <w:rPr>
                <w:rFonts w:cs="Arial"/>
                <w:color w:val="000000"/>
                <w:sz w:val="18"/>
                <w:szCs w:val="18"/>
                <w:lang w:eastAsia="en-GB"/>
              </w:rPr>
            </w:pPr>
            <w:r w:rsidRPr="00B91524">
              <w:rPr>
                <w:rFonts w:cs="Arial"/>
                <w:color w:val="000000"/>
                <w:sz w:val="18"/>
                <w:szCs w:val="18"/>
                <w:lang w:eastAsia="en-GB"/>
              </w:rPr>
              <w:t>(ii) proposed timings for mobilisation of plant, delivery of materials and installation works; and</w:t>
            </w:r>
          </w:p>
        </w:tc>
      </w:tr>
      <w:tr w:rsidR="000A00B4" w:rsidRPr="00B91524" w14:paraId="3294C7F2" w14:textId="77777777" w:rsidTr="00CF42C5">
        <w:trPr>
          <w:trHeight w:val="936"/>
        </w:trPr>
        <w:tc>
          <w:tcPr>
            <w:tcW w:w="5000" w:type="pct"/>
            <w:tcBorders>
              <w:top w:val="nil"/>
              <w:left w:val="single" w:sz="8" w:space="0" w:color="1D4477"/>
              <w:bottom w:val="single" w:sz="8" w:space="0" w:color="1D4477"/>
              <w:right w:val="single" w:sz="8" w:space="0" w:color="1D4477"/>
            </w:tcBorders>
            <w:shd w:val="clear" w:color="000000" w:fill="C4D7F0"/>
            <w:vAlign w:val="center"/>
            <w:hideMark/>
          </w:tcPr>
          <w:p w14:paraId="799DB77A" w14:textId="77777777" w:rsidR="000A00B4" w:rsidRPr="00B91524" w:rsidRDefault="000A00B4" w:rsidP="000A00B4">
            <w:pPr>
              <w:spacing w:after="0"/>
              <w:rPr>
                <w:rFonts w:cs="Arial"/>
                <w:color w:val="000000"/>
                <w:sz w:val="18"/>
                <w:szCs w:val="18"/>
                <w:lang w:eastAsia="en-GB"/>
              </w:rPr>
            </w:pPr>
            <w:r w:rsidRPr="00B91524">
              <w:rPr>
                <w:rFonts w:cs="Arial"/>
                <w:color w:val="000000"/>
                <w:sz w:val="18"/>
                <w:szCs w:val="18"/>
                <w:lang w:eastAsia="en-GB"/>
              </w:rPr>
              <w:t>(iii) proposed pre-construction surveys, a proposed format and content for a baseline report, construction monitoring, post-construction monitoring and related reporting in consultation with the relevant statutory nature conservation body. The preconstruction survey programme and all pre-construction survey methodologies must be submitted to the MMO for written approval at least 4 months before commencement of any survey works detailed within;</w:t>
            </w:r>
          </w:p>
        </w:tc>
      </w:tr>
      <w:tr w:rsidR="000A00B4" w:rsidRPr="00B91524" w14:paraId="4A362660" w14:textId="77777777" w:rsidTr="00876F24">
        <w:trPr>
          <w:trHeight w:val="361"/>
        </w:trPr>
        <w:tc>
          <w:tcPr>
            <w:tcW w:w="5000" w:type="pct"/>
            <w:tcBorders>
              <w:top w:val="nil"/>
              <w:left w:val="single" w:sz="8" w:space="0" w:color="1D4477"/>
              <w:bottom w:val="nil"/>
              <w:right w:val="single" w:sz="8" w:space="0" w:color="1D4477"/>
            </w:tcBorders>
            <w:shd w:val="clear" w:color="000000" w:fill="C4D7F0"/>
            <w:vAlign w:val="center"/>
            <w:hideMark/>
          </w:tcPr>
          <w:p w14:paraId="10C755E0" w14:textId="77777777" w:rsidR="000A00B4" w:rsidRPr="00B91524" w:rsidRDefault="000A00B4" w:rsidP="000A00B4">
            <w:pPr>
              <w:spacing w:after="0"/>
              <w:rPr>
                <w:rFonts w:cs="Arial"/>
                <w:b/>
                <w:bCs/>
                <w:i/>
                <w:iCs/>
                <w:color w:val="000000"/>
                <w:sz w:val="18"/>
                <w:szCs w:val="18"/>
                <w:lang w:eastAsia="en-GB"/>
              </w:rPr>
            </w:pPr>
            <w:r w:rsidRPr="00B91524">
              <w:rPr>
                <w:rFonts w:cs="Arial"/>
                <w:b/>
                <w:bCs/>
                <w:i/>
                <w:iCs/>
                <w:color w:val="000000"/>
                <w:sz w:val="18"/>
                <w:szCs w:val="18"/>
                <w:lang w:eastAsia="en-GB"/>
              </w:rPr>
              <w:t>Pre-Construction Monitoring</w:t>
            </w:r>
          </w:p>
        </w:tc>
      </w:tr>
      <w:tr w:rsidR="000A00B4" w:rsidRPr="00B91524" w14:paraId="17DD1C46" w14:textId="77777777" w:rsidTr="00876F24">
        <w:trPr>
          <w:trHeight w:val="1737"/>
        </w:trPr>
        <w:tc>
          <w:tcPr>
            <w:tcW w:w="5000" w:type="pct"/>
            <w:tcBorders>
              <w:top w:val="nil"/>
              <w:left w:val="single" w:sz="8" w:space="0" w:color="1D4477"/>
              <w:bottom w:val="nil"/>
              <w:right w:val="single" w:sz="8" w:space="0" w:color="1D4477"/>
            </w:tcBorders>
            <w:shd w:val="clear" w:color="000000" w:fill="C4D7F0"/>
            <w:vAlign w:val="center"/>
            <w:hideMark/>
          </w:tcPr>
          <w:p w14:paraId="1A6B0CF7" w14:textId="77777777" w:rsidR="000A00B4" w:rsidRPr="00B91524" w:rsidRDefault="000A00B4" w:rsidP="000A00B4">
            <w:pPr>
              <w:spacing w:after="0"/>
              <w:rPr>
                <w:rFonts w:cs="Arial"/>
                <w:b/>
                <w:bCs/>
                <w:color w:val="000000"/>
                <w:sz w:val="18"/>
                <w:szCs w:val="18"/>
                <w:lang w:eastAsia="en-GB"/>
              </w:rPr>
            </w:pPr>
            <w:r w:rsidRPr="00B91524">
              <w:rPr>
                <w:rFonts w:cs="Arial"/>
                <w:b/>
                <w:bCs/>
                <w:color w:val="000000"/>
                <w:sz w:val="18"/>
                <w:szCs w:val="18"/>
                <w:lang w:eastAsia="en-GB"/>
              </w:rPr>
              <w:lastRenderedPageBreak/>
              <w:t>21.</w:t>
            </w:r>
            <w:r w:rsidRPr="00B91524">
              <w:rPr>
                <w:rFonts w:cs="Arial"/>
                <w:color w:val="000000"/>
                <w:sz w:val="18"/>
                <w:szCs w:val="18"/>
                <w:lang w:eastAsia="en-GB"/>
              </w:rPr>
              <w:t>— (1) The undertaker must, in discharging Condition 16(b), and the requirement to prepare a detailed construction and monitoring programme, include details for written approval by the MMO of proposed pre-construction surveys, including methodologies and timings, and a proposed format and content for a pre-construction baseline report. The survey proposals must be in accordance with the principles set out in the offshore in principle monitoring plan and must specify each survey’s objectives and explain how it assists in either informing a useful and valid comparison with the post-construction position or enables the validation or otherwise of key predictions in the environmental statement. The baseline report proposals must ensure that the outcome of the agreed surveys together with existing data and reports are drawn together to present a valid statement of the pre-construction position, with any limitations, and must make clear what post-construction comparison is intended and the justification for this being required.</w:t>
            </w:r>
          </w:p>
        </w:tc>
      </w:tr>
      <w:tr w:rsidR="000A00B4" w:rsidRPr="00B91524" w14:paraId="4669CF42" w14:textId="77777777" w:rsidTr="00876F24">
        <w:trPr>
          <w:trHeight w:val="578"/>
        </w:trPr>
        <w:tc>
          <w:tcPr>
            <w:tcW w:w="5000" w:type="pct"/>
            <w:tcBorders>
              <w:top w:val="nil"/>
              <w:left w:val="single" w:sz="8" w:space="0" w:color="1D4477"/>
              <w:bottom w:val="nil"/>
              <w:right w:val="single" w:sz="8" w:space="0" w:color="1D4477"/>
            </w:tcBorders>
            <w:shd w:val="clear" w:color="000000" w:fill="C4D7F0"/>
            <w:vAlign w:val="center"/>
            <w:hideMark/>
          </w:tcPr>
          <w:p w14:paraId="18927A48" w14:textId="77777777" w:rsidR="000A00B4" w:rsidRPr="00B91524" w:rsidRDefault="000A00B4" w:rsidP="000A00B4">
            <w:pPr>
              <w:spacing w:after="0"/>
              <w:rPr>
                <w:rFonts w:cs="Arial"/>
                <w:color w:val="000000"/>
                <w:sz w:val="18"/>
                <w:szCs w:val="18"/>
                <w:lang w:eastAsia="en-GB"/>
              </w:rPr>
            </w:pPr>
            <w:r w:rsidRPr="00B91524">
              <w:rPr>
                <w:rFonts w:cs="Arial"/>
                <w:color w:val="000000"/>
                <w:sz w:val="18"/>
                <w:szCs w:val="18"/>
                <w:lang w:eastAsia="en-GB"/>
              </w:rPr>
              <w:t>(2) Subject to receipt from the undertaker of specific proposals pursuant to this Condition, where appropriate and necessary it is expected that the pre-construction surveys will comprise—</w:t>
            </w:r>
          </w:p>
        </w:tc>
      </w:tr>
      <w:tr w:rsidR="000A00B4" w:rsidRPr="00B91524" w14:paraId="29B11B9E" w14:textId="77777777" w:rsidTr="00876F24">
        <w:trPr>
          <w:trHeight w:val="578"/>
        </w:trPr>
        <w:tc>
          <w:tcPr>
            <w:tcW w:w="5000" w:type="pct"/>
            <w:tcBorders>
              <w:top w:val="nil"/>
              <w:left w:val="single" w:sz="8" w:space="0" w:color="1D4477"/>
              <w:bottom w:val="nil"/>
              <w:right w:val="single" w:sz="8" w:space="0" w:color="1D4477"/>
            </w:tcBorders>
            <w:shd w:val="clear" w:color="000000" w:fill="C4D7F0"/>
            <w:vAlign w:val="center"/>
            <w:hideMark/>
          </w:tcPr>
          <w:p w14:paraId="6440EC2B" w14:textId="77777777" w:rsidR="000A00B4" w:rsidRPr="00B91524" w:rsidRDefault="000A00B4" w:rsidP="000A00B4">
            <w:pPr>
              <w:spacing w:after="0"/>
              <w:rPr>
                <w:rFonts w:cs="Arial"/>
                <w:color w:val="000000"/>
                <w:sz w:val="18"/>
                <w:szCs w:val="18"/>
                <w:lang w:eastAsia="en-GB"/>
              </w:rPr>
            </w:pPr>
            <w:r w:rsidRPr="00B91524">
              <w:rPr>
                <w:rFonts w:cs="Arial"/>
                <w:color w:val="000000"/>
                <w:sz w:val="18"/>
                <w:szCs w:val="18"/>
                <w:lang w:eastAsia="en-GB"/>
              </w:rPr>
              <w:t>(a) an appropriate survey to determine the location and reasonable extent of any benthic habitats of conservation, ecological or economic importance (including Annex 1 habitats) in whole or in part inside the areas within the Order limits in which it is proposed to carry out construction works;</w:t>
            </w:r>
          </w:p>
        </w:tc>
      </w:tr>
      <w:tr w:rsidR="000A00B4" w:rsidRPr="00B91524" w14:paraId="035CCB1D" w14:textId="77777777" w:rsidTr="00876F24">
        <w:trPr>
          <w:trHeight w:val="521"/>
        </w:trPr>
        <w:tc>
          <w:tcPr>
            <w:tcW w:w="5000" w:type="pct"/>
            <w:tcBorders>
              <w:top w:val="nil"/>
              <w:left w:val="single" w:sz="8" w:space="0" w:color="1D4477"/>
              <w:bottom w:val="single" w:sz="8" w:space="0" w:color="1D4477"/>
              <w:right w:val="single" w:sz="8" w:space="0" w:color="1D4477"/>
            </w:tcBorders>
            <w:shd w:val="clear" w:color="000000" w:fill="C4D7F0"/>
            <w:vAlign w:val="center"/>
            <w:hideMark/>
          </w:tcPr>
          <w:p w14:paraId="0A7D48C1" w14:textId="77777777" w:rsidR="000A00B4" w:rsidRPr="00B91524" w:rsidRDefault="000A00B4" w:rsidP="000A00B4">
            <w:pPr>
              <w:spacing w:after="0"/>
              <w:rPr>
                <w:rFonts w:cs="Arial"/>
                <w:color w:val="000000"/>
                <w:sz w:val="18"/>
                <w:szCs w:val="18"/>
                <w:lang w:eastAsia="en-GB"/>
              </w:rPr>
            </w:pPr>
            <w:r w:rsidRPr="00B91524">
              <w:rPr>
                <w:rFonts w:cs="Arial"/>
                <w:color w:val="000000"/>
                <w:sz w:val="18"/>
                <w:szCs w:val="18"/>
                <w:lang w:eastAsia="en-GB"/>
              </w:rPr>
              <w:t>(3) The undertaker must carry out and complete the surveys to be undertaken under subparagraph (1) in a timescale agreed by the MMO.</w:t>
            </w:r>
          </w:p>
        </w:tc>
      </w:tr>
      <w:tr w:rsidR="000A00B4" w:rsidRPr="00B91524" w14:paraId="149E2E4C" w14:textId="77777777" w:rsidTr="00876F24">
        <w:trPr>
          <w:trHeight w:val="361"/>
        </w:trPr>
        <w:tc>
          <w:tcPr>
            <w:tcW w:w="5000" w:type="pct"/>
            <w:tcBorders>
              <w:top w:val="nil"/>
              <w:left w:val="single" w:sz="8" w:space="0" w:color="1D4477"/>
              <w:bottom w:val="nil"/>
              <w:right w:val="single" w:sz="8" w:space="0" w:color="1D4477"/>
            </w:tcBorders>
            <w:shd w:val="clear" w:color="000000" w:fill="C4D7F0"/>
            <w:vAlign w:val="center"/>
            <w:hideMark/>
          </w:tcPr>
          <w:p w14:paraId="19E8D774" w14:textId="77777777" w:rsidR="000A00B4" w:rsidRPr="00B91524" w:rsidRDefault="000A00B4" w:rsidP="000A00B4">
            <w:pPr>
              <w:spacing w:after="0"/>
              <w:rPr>
                <w:rFonts w:cs="Arial"/>
                <w:b/>
                <w:bCs/>
                <w:i/>
                <w:iCs/>
                <w:color w:val="000000"/>
                <w:sz w:val="18"/>
                <w:szCs w:val="18"/>
                <w:lang w:eastAsia="en-GB"/>
              </w:rPr>
            </w:pPr>
            <w:r w:rsidRPr="00B91524">
              <w:rPr>
                <w:rFonts w:cs="Arial"/>
                <w:b/>
                <w:bCs/>
                <w:i/>
                <w:iCs/>
                <w:color w:val="000000"/>
                <w:sz w:val="18"/>
                <w:szCs w:val="18"/>
                <w:lang w:eastAsia="en-GB"/>
              </w:rPr>
              <w:t>Post-construction monitoring</w:t>
            </w:r>
          </w:p>
        </w:tc>
      </w:tr>
      <w:tr w:rsidR="000A00B4" w:rsidRPr="00B91524" w14:paraId="51488C51" w14:textId="77777777" w:rsidTr="00876F24">
        <w:trPr>
          <w:trHeight w:val="1448"/>
        </w:trPr>
        <w:tc>
          <w:tcPr>
            <w:tcW w:w="5000" w:type="pct"/>
            <w:tcBorders>
              <w:top w:val="nil"/>
              <w:left w:val="single" w:sz="8" w:space="0" w:color="1D4477"/>
              <w:bottom w:val="nil"/>
              <w:right w:val="single" w:sz="8" w:space="0" w:color="1D4477"/>
            </w:tcBorders>
            <w:shd w:val="clear" w:color="000000" w:fill="C4D7F0"/>
            <w:vAlign w:val="center"/>
            <w:hideMark/>
          </w:tcPr>
          <w:p w14:paraId="1362D315" w14:textId="77777777" w:rsidR="000A00B4" w:rsidRPr="00B91524" w:rsidRDefault="000A00B4" w:rsidP="000A00B4">
            <w:pPr>
              <w:spacing w:after="0"/>
              <w:rPr>
                <w:rFonts w:cs="Arial"/>
                <w:b/>
                <w:bCs/>
                <w:color w:val="000000"/>
                <w:sz w:val="18"/>
                <w:szCs w:val="18"/>
                <w:lang w:eastAsia="en-GB"/>
              </w:rPr>
            </w:pPr>
            <w:r w:rsidRPr="00B91524">
              <w:rPr>
                <w:rFonts w:cs="Arial"/>
                <w:b/>
                <w:bCs/>
                <w:color w:val="000000"/>
                <w:sz w:val="18"/>
                <w:szCs w:val="18"/>
                <w:lang w:eastAsia="en-GB"/>
              </w:rPr>
              <w:t>23</w:t>
            </w:r>
            <w:r w:rsidRPr="00B91524">
              <w:rPr>
                <w:rFonts w:cs="Arial"/>
                <w:color w:val="000000"/>
                <w:sz w:val="18"/>
                <w:szCs w:val="18"/>
                <w:lang w:eastAsia="en-GB"/>
              </w:rPr>
              <w:t>.—(1) The undertaker must, in discharging Condition 16(b), submit details for written approval by the MMO of the 5 post-construction surveys proposed in sub-paragraph (2), including methodologies and timings, and a proposed format, content and timings for providing reports on the results at least 4 months before commencement of any survey works detailed within. The survey proposals must be in accordance with the principles set out in the offshore in principle monitoring plan and specify each survey’s objectives and explain how it assists in either informing a useful and valid comparison with the pre-construction position or enables the validation or otherwise of key predictions in the environmental statement.</w:t>
            </w:r>
          </w:p>
        </w:tc>
      </w:tr>
      <w:tr w:rsidR="000A00B4" w:rsidRPr="00B91524" w14:paraId="004F7D41" w14:textId="77777777" w:rsidTr="00876F24">
        <w:trPr>
          <w:trHeight w:val="361"/>
        </w:trPr>
        <w:tc>
          <w:tcPr>
            <w:tcW w:w="5000" w:type="pct"/>
            <w:tcBorders>
              <w:top w:val="nil"/>
              <w:left w:val="single" w:sz="8" w:space="0" w:color="1D4477"/>
              <w:bottom w:val="nil"/>
              <w:right w:val="single" w:sz="8" w:space="0" w:color="1D4477"/>
            </w:tcBorders>
            <w:shd w:val="clear" w:color="000000" w:fill="C4D7F0"/>
            <w:vAlign w:val="center"/>
            <w:hideMark/>
          </w:tcPr>
          <w:p w14:paraId="673BE866" w14:textId="77777777" w:rsidR="000A00B4" w:rsidRPr="00B91524" w:rsidRDefault="000A00B4" w:rsidP="000A00B4">
            <w:pPr>
              <w:spacing w:after="0"/>
              <w:rPr>
                <w:rFonts w:cs="Arial"/>
                <w:color w:val="000000"/>
                <w:sz w:val="18"/>
                <w:szCs w:val="18"/>
                <w:lang w:eastAsia="en-GB"/>
              </w:rPr>
            </w:pPr>
            <w:r w:rsidRPr="00B91524">
              <w:rPr>
                <w:rFonts w:cs="Arial"/>
                <w:color w:val="000000"/>
                <w:sz w:val="18"/>
                <w:szCs w:val="18"/>
                <w:lang w:eastAsia="en-GB"/>
              </w:rPr>
              <w:t>(2) Subject to receipt of specific proposals, it is expected that the post-construction surveys will comprise—</w:t>
            </w:r>
          </w:p>
        </w:tc>
      </w:tr>
      <w:tr w:rsidR="000A00B4" w:rsidRPr="00B91524" w14:paraId="7958E2E3" w14:textId="77777777" w:rsidTr="00876F24">
        <w:trPr>
          <w:trHeight w:val="1157"/>
        </w:trPr>
        <w:tc>
          <w:tcPr>
            <w:tcW w:w="5000" w:type="pct"/>
            <w:tcBorders>
              <w:top w:val="nil"/>
              <w:left w:val="single" w:sz="8" w:space="0" w:color="1D4477"/>
              <w:bottom w:val="nil"/>
              <w:right w:val="single" w:sz="8" w:space="0" w:color="1D4477"/>
            </w:tcBorders>
            <w:shd w:val="clear" w:color="000000" w:fill="C4D7F0"/>
            <w:vAlign w:val="center"/>
            <w:hideMark/>
          </w:tcPr>
          <w:p w14:paraId="0484E52F" w14:textId="77777777" w:rsidR="000A00B4" w:rsidRPr="00B91524" w:rsidRDefault="000A00B4" w:rsidP="000A00B4">
            <w:pPr>
              <w:spacing w:after="0"/>
              <w:rPr>
                <w:rFonts w:cs="Arial"/>
                <w:color w:val="000000"/>
                <w:sz w:val="18"/>
                <w:szCs w:val="18"/>
                <w:lang w:eastAsia="en-GB"/>
              </w:rPr>
            </w:pPr>
            <w:r w:rsidRPr="00B91524">
              <w:rPr>
                <w:rFonts w:cs="Arial"/>
                <w:color w:val="000000"/>
                <w:sz w:val="18"/>
                <w:szCs w:val="18"/>
                <w:lang w:eastAsia="en-GB"/>
              </w:rPr>
              <w:t>(c) dependent on the outcome of the surveys undertaken under Condition 21(2)(a), appropriate surveys to determine the effects of construction activity on any benthic habitats of conservation, ecological or economic importance (including Annex 1 habitats) the environmental statement and to identify the presence of any non-native species and wider community type structure; in whole or in part inside the areas within the Order limits to validate predictions made in the environmental statement and to identify the presence of any non-native species and wider community type structure;</w:t>
            </w:r>
          </w:p>
        </w:tc>
      </w:tr>
      <w:tr w:rsidR="000A00B4" w:rsidRPr="00B91524" w14:paraId="76623148" w14:textId="77777777" w:rsidTr="00876F24">
        <w:trPr>
          <w:trHeight w:val="361"/>
        </w:trPr>
        <w:tc>
          <w:tcPr>
            <w:tcW w:w="5000" w:type="pct"/>
            <w:tcBorders>
              <w:top w:val="nil"/>
              <w:left w:val="single" w:sz="8" w:space="0" w:color="1D4477"/>
              <w:bottom w:val="nil"/>
              <w:right w:val="single" w:sz="8" w:space="0" w:color="1D4477"/>
            </w:tcBorders>
            <w:shd w:val="clear" w:color="000000" w:fill="C4D7F0"/>
            <w:vAlign w:val="center"/>
            <w:hideMark/>
          </w:tcPr>
          <w:p w14:paraId="62050A1F" w14:textId="37038CB2" w:rsidR="000A00B4" w:rsidRPr="00B91524" w:rsidRDefault="000A00B4" w:rsidP="000A00B4">
            <w:pPr>
              <w:spacing w:after="0"/>
              <w:rPr>
                <w:rFonts w:ascii="Calibri" w:hAnsi="Calibri" w:cs="Calibri"/>
                <w:color w:val="0563C1"/>
                <w:sz w:val="18"/>
                <w:szCs w:val="18"/>
                <w:u w:val="single"/>
                <w:lang w:eastAsia="en-GB"/>
              </w:rPr>
            </w:pPr>
            <w:r w:rsidRPr="00B91524">
              <w:rPr>
                <w:rFonts w:cs="Arial"/>
                <w:color w:val="000000"/>
                <w:sz w:val="18"/>
                <w:szCs w:val="18"/>
                <w:lang w:eastAsia="en-GB"/>
              </w:rPr>
              <w:footnoteReference w:customMarkFollows="1" w:id="1"/>
              <w:t>(e) appropriate surveys to determine the change in size and form of the drill disposal mounds over the lifetime of the authorised scheme.</w:t>
            </w:r>
          </w:p>
        </w:tc>
      </w:tr>
      <w:tr w:rsidR="000A00B4" w:rsidRPr="00B91524" w14:paraId="7B2014D1" w14:textId="77777777" w:rsidTr="00764144">
        <w:trPr>
          <w:trHeight w:val="802"/>
        </w:trPr>
        <w:tc>
          <w:tcPr>
            <w:tcW w:w="5000" w:type="pct"/>
            <w:tcBorders>
              <w:top w:val="nil"/>
              <w:left w:val="single" w:sz="8" w:space="0" w:color="1D4477"/>
              <w:bottom w:val="single" w:sz="8" w:space="0" w:color="1D4477"/>
              <w:right w:val="single" w:sz="8" w:space="0" w:color="1D4477"/>
            </w:tcBorders>
            <w:shd w:val="clear" w:color="000000" w:fill="C4D7F0"/>
            <w:vAlign w:val="center"/>
            <w:hideMark/>
          </w:tcPr>
          <w:p w14:paraId="3009982F" w14:textId="77777777" w:rsidR="000A00B4" w:rsidRPr="00B91524" w:rsidRDefault="000A00B4" w:rsidP="000A00B4">
            <w:pPr>
              <w:spacing w:after="0"/>
              <w:rPr>
                <w:rFonts w:cs="Arial"/>
                <w:color w:val="000000"/>
                <w:sz w:val="18"/>
                <w:szCs w:val="18"/>
                <w:lang w:eastAsia="en-GB"/>
              </w:rPr>
            </w:pPr>
            <w:r w:rsidRPr="00B91524">
              <w:rPr>
                <w:rFonts w:cs="Arial"/>
                <w:color w:val="000000"/>
                <w:sz w:val="18"/>
                <w:szCs w:val="18"/>
                <w:lang w:eastAsia="en-GB"/>
              </w:rPr>
              <w:t>(3) The undertaker must carry out the surveys under sub-paragraph (1) and provide the reports in the agreed format in accordance with the timetable agreed in writing by the MMO following consultation with the relevant statutory nature conservation body.</w:t>
            </w:r>
          </w:p>
        </w:tc>
      </w:tr>
      <w:bookmarkEnd w:id="14"/>
    </w:tbl>
    <w:p w14:paraId="3B36E64B" w14:textId="77777777" w:rsidR="00967947" w:rsidRPr="00B91524" w:rsidRDefault="00967947">
      <w:r w:rsidRPr="00B91524">
        <w:br w:type="page"/>
      </w:r>
    </w:p>
    <w:tbl>
      <w:tblPr>
        <w:tblW w:w="5001" w:type="pct"/>
        <w:tblLook w:val="04A0" w:firstRow="1" w:lastRow="0" w:firstColumn="1" w:lastColumn="0" w:noHBand="0" w:noVBand="1"/>
      </w:tblPr>
      <w:tblGrid>
        <w:gridCol w:w="9738"/>
      </w:tblGrid>
      <w:tr w:rsidR="00876F24" w:rsidRPr="00B91524" w14:paraId="74788D25" w14:textId="77777777" w:rsidTr="005D2E02">
        <w:trPr>
          <w:trHeight w:val="315"/>
          <w:tblHeader/>
        </w:trPr>
        <w:tc>
          <w:tcPr>
            <w:tcW w:w="5000" w:type="pct"/>
            <w:tcBorders>
              <w:top w:val="single" w:sz="8" w:space="0" w:color="auto"/>
              <w:left w:val="single" w:sz="8" w:space="0" w:color="auto"/>
              <w:bottom w:val="single" w:sz="8" w:space="0" w:color="auto"/>
              <w:right w:val="single" w:sz="8" w:space="0" w:color="auto"/>
            </w:tcBorders>
            <w:shd w:val="clear" w:color="000000" w:fill="1D4477"/>
            <w:vAlign w:val="center"/>
            <w:hideMark/>
          </w:tcPr>
          <w:p w14:paraId="5CE26639" w14:textId="4A730FED" w:rsidR="00876F24" w:rsidRPr="00B91524" w:rsidRDefault="00876F24" w:rsidP="00876F24">
            <w:pPr>
              <w:spacing w:after="0"/>
              <w:jc w:val="center"/>
              <w:rPr>
                <w:rFonts w:cs="Arial"/>
                <w:b/>
                <w:bCs/>
                <w:color w:val="FFFFFF"/>
                <w:sz w:val="18"/>
                <w:szCs w:val="18"/>
                <w:lang w:eastAsia="en-GB"/>
              </w:rPr>
            </w:pPr>
            <w:r w:rsidRPr="00B91524">
              <w:rPr>
                <w:rFonts w:cs="Arial"/>
                <w:b/>
                <w:bCs/>
                <w:color w:val="FFFFFF"/>
                <w:sz w:val="18"/>
                <w:szCs w:val="18"/>
                <w:lang w:eastAsia="en-GB"/>
              </w:rPr>
              <w:lastRenderedPageBreak/>
              <w:t>DCO Schedule 11: ML 4: Project B (SOWF) Offshore Transmission – Work Nos. 2B, 3T and 2T: Part 2 Conditions (as varied in 2019)</w:t>
            </w:r>
          </w:p>
        </w:tc>
      </w:tr>
      <w:tr w:rsidR="00876F24" w:rsidRPr="00B91524" w14:paraId="5310B00E" w14:textId="77777777" w:rsidTr="00764144">
        <w:trPr>
          <w:trHeight w:val="429"/>
        </w:trPr>
        <w:tc>
          <w:tcPr>
            <w:tcW w:w="5000" w:type="pct"/>
            <w:tcBorders>
              <w:top w:val="nil"/>
              <w:left w:val="single" w:sz="8" w:space="0" w:color="1D4477"/>
              <w:bottom w:val="nil"/>
              <w:right w:val="single" w:sz="8" w:space="0" w:color="1D4477"/>
            </w:tcBorders>
            <w:shd w:val="clear" w:color="000000" w:fill="C4D7F0"/>
            <w:vAlign w:val="center"/>
            <w:hideMark/>
          </w:tcPr>
          <w:p w14:paraId="4FCBA89F" w14:textId="77777777" w:rsidR="00876F24" w:rsidRPr="00B91524" w:rsidRDefault="00876F24" w:rsidP="00876F24">
            <w:pPr>
              <w:spacing w:after="0"/>
              <w:rPr>
                <w:rFonts w:cs="Arial"/>
                <w:b/>
                <w:bCs/>
                <w:i/>
                <w:iCs/>
                <w:color w:val="000000"/>
                <w:sz w:val="18"/>
                <w:szCs w:val="18"/>
                <w:lang w:eastAsia="en-GB"/>
              </w:rPr>
            </w:pPr>
            <w:r w:rsidRPr="00B91524">
              <w:rPr>
                <w:rFonts w:cs="Arial"/>
                <w:b/>
                <w:bCs/>
                <w:i/>
                <w:iCs/>
                <w:color w:val="000000"/>
                <w:sz w:val="18"/>
                <w:szCs w:val="18"/>
                <w:lang w:eastAsia="en-GB"/>
              </w:rPr>
              <w:t>Pre-Construction Plans and Documents</w:t>
            </w:r>
          </w:p>
        </w:tc>
      </w:tr>
      <w:tr w:rsidR="00876F24" w:rsidRPr="00B91524" w14:paraId="039138E2" w14:textId="77777777" w:rsidTr="00876F24">
        <w:trPr>
          <w:trHeight w:val="300"/>
        </w:trPr>
        <w:tc>
          <w:tcPr>
            <w:tcW w:w="5000" w:type="pct"/>
            <w:tcBorders>
              <w:top w:val="nil"/>
              <w:left w:val="single" w:sz="8" w:space="0" w:color="1D4477"/>
              <w:bottom w:val="nil"/>
              <w:right w:val="single" w:sz="8" w:space="0" w:color="1D4477"/>
            </w:tcBorders>
            <w:shd w:val="clear" w:color="000000" w:fill="C4D7F0"/>
            <w:vAlign w:val="center"/>
            <w:hideMark/>
          </w:tcPr>
          <w:p w14:paraId="423EF030" w14:textId="77777777" w:rsidR="00876F24" w:rsidRPr="00B91524" w:rsidRDefault="00876F24" w:rsidP="00876F24">
            <w:pPr>
              <w:spacing w:after="0"/>
              <w:rPr>
                <w:rFonts w:cs="Arial"/>
                <w:b/>
                <w:bCs/>
                <w:i/>
                <w:iCs/>
                <w:color w:val="000000"/>
                <w:sz w:val="18"/>
                <w:szCs w:val="18"/>
                <w:lang w:eastAsia="en-GB"/>
              </w:rPr>
            </w:pPr>
            <w:r w:rsidRPr="00B91524">
              <w:rPr>
                <w:rFonts w:cs="Arial"/>
                <w:b/>
                <w:bCs/>
                <w:i/>
                <w:iCs/>
                <w:color w:val="000000"/>
                <w:sz w:val="18"/>
                <w:szCs w:val="18"/>
                <w:lang w:eastAsia="en-GB"/>
              </w:rPr>
              <w:t>Detailed construction and monitoring programme</w:t>
            </w:r>
          </w:p>
        </w:tc>
      </w:tr>
      <w:tr w:rsidR="00876F24" w:rsidRPr="00B91524" w14:paraId="2FCB461F" w14:textId="77777777" w:rsidTr="00876F24">
        <w:trPr>
          <w:trHeight w:val="300"/>
        </w:trPr>
        <w:tc>
          <w:tcPr>
            <w:tcW w:w="5000" w:type="pct"/>
            <w:tcBorders>
              <w:top w:val="nil"/>
              <w:left w:val="single" w:sz="8" w:space="0" w:color="1D4477"/>
              <w:bottom w:val="nil"/>
              <w:right w:val="single" w:sz="8" w:space="0" w:color="1D4477"/>
            </w:tcBorders>
            <w:shd w:val="clear" w:color="000000" w:fill="C4D7F0"/>
            <w:vAlign w:val="center"/>
            <w:hideMark/>
          </w:tcPr>
          <w:p w14:paraId="753FE89A" w14:textId="77777777" w:rsidR="00876F24" w:rsidRPr="00B91524" w:rsidRDefault="00876F24" w:rsidP="00876F24">
            <w:pPr>
              <w:spacing w:after="0"/>
              <w:rPr>
                <w:rFonts w:cs="Arial"/>
                <w:color w:val="000000"/>
                <w:sz w:val="18"/>
                <w:szCs w:val="18"/>
                <w:lang w:eastAsia="en-GB"/>
              </w:rPr>
            </w:pPr>
            <w:r w:rsidRPr="00B91524">
              <w:rPr>
                <w:rFonts w:cs="Arial"/>
                <w:color w:val="000000"/>
                <w:sz w:val="18"/>
                <w:szCs w:val="18"/>
                <w:lang w:eastAsia="en-GB"/>
              </w:rPr>
              <w:t>14(b) a detailed construction and monitoring programme, including details of—</w:t>
            </w:r>
          </w:p>
        </w:tc>
      </w:tr>
      <w:tr w:rsidR="00876F24" w:rsidRPr="00B91524" w14:paraId="590738B9" w14:textId="77777777" w:rsidTr="00876F24">
        <w:trPr>
          <w:trHeight w:val="300"/>
        </w:trPr>
        <w:tc>
          <w:tcPr>
            <w:tcW w:w="5000" w:type="pct"/>
            <w:tcBorders>
              <w:top w:val="nil"/>
              <w:left w:val="single" w:sz="8" w:space="0" w:color="1D4477"/>
              <w:bottom w:val="nil"/>
              <w:right w:val="single" w:sz="8" w:space="0" w:color="1D4477"/>
            </w:tcBorders>
            <w:shd w:val="clear" w:color="000000" w:fill="C4D7F0"/>
            <w:vAlign w:val="center"/>
            <w:hideMark/>
          </w:tcPr>
          <w:p w14:paraId="244DD593" w14:textId="77777777" w:rsidR="00876F24" w:rsidRPr="00B91524" w:rsidRDefault="00876F24" w:rsidP="00876F24">
            <w:pPr>
              <w:spacing w:after="0"/>
              <w:rPr>
                <w:rFonts w:cs="Arial"/>
                <w:color w:val="000000"/>
                <w:sz w:val="18"/>
                <w:szCs w:val="18"/>
                <w:lang w:eastAsia="en-GB"/>
              </w:rPr>
            </w:pPr>
            <w:r w:rsidRPr="00B91524">
              <w:rPr>
                <w:rFonts w:cs="Arial"/>
                <w:color w:val="000000"/>
                <w:sz w:val="18"/>
                <w:szCs w:val="18"/>
                <w:lang w:eastAsia="en-GB"/>
              </w:rPr>
              <w:t>(</w:t>
            </w:r>
            <w:proofErr w:type="spellStart"/>
            <w:r w:rsidRPr="00B91524">
              <w:rPr>
                <w:rFonts w:cs="Arial"/>
                <w:color w:val="000000"/>
                <w:sz w:val="18"/>
                <w:szCs w:val="18"/>
                <w:lang w:eastAsia="en-GB"/>
              </w:rPr>
              <w:t>i</w:t>
            </w:r>
            <w:proofErr w:type="spellEnd"/>
            <w:r w:rsidRPr="00B91524">
              <w:rPr>
                <w:rFonts w:cs="Arial"/>
                <w:color w:val="000000"/>
                <w:sz w:val="18"/>
                <w:szCs w:val="18"/>
                <w:lang w:eastAsia="en-GB"/>
              </w:rPr>
              <w:t>) the proposed construction commencement date;</w:t>
            </w:r>
          </w:p>
        </w:tc>
      </w:tr>
      <w:tr w:rsidR="00876F24" w:rsidRPr="00B91524" w14:paraId="05C2CD71" w14:textId="77777777" w:rsidTr="00876F24">
        <w:trPr>
          <w:trHeight w:val="300"/>
        </w:trPr>
        <w:tc>
          <w:tcPr>
            <w:tcW w:w="5000" w:type="pct"/>
            <w:tcBorders>
              <w:top w:val="nil"/>
              <w:left w:val="single" w:sz="8" w:space="0" w:color="1D4477"/>
              <w:bottom w:val="nil"/>
              <w:right w:val="single" w:sz="8" w:space="0" w:color="1D4477"/>
            </w:tcBorders>
            <w:shd w:val="clear" w:color="000000" w:fill="C4D7F0"/>
            <w:vAlign w:val="center"/>
            <w:hideMark/>
          </w:tcPr>
          <w:p w14:paraId="051806A0" w14:textId="77777777" w:rsidR="00876F24" w:rsidRPr="00B91524" w:rsidRDefault="00876F24" w:rsidP="00876F24">
            <w:pPr>
              <w:spacing w:after="0"/>
              <w:rPr>
                <w:rFonts w:cs="Arial"/>
                <w:color w:val="000000"/>
                <w:sz w:val="18"/>
                <w:szCs w:val="18"/>
                <w:lang w:eastAsia="en-GB"/>
              </w:rPr>
            </w:pPr>
            <w:r w:rsidRPr="00B91524">
              <w:rPr>
                <w:rFonts w:cs="Arial"/>
                <w:color w:val="000000"/>
                <w:sz w:val="18"/>
                <w:szCs w:val="18"/>
                <w:lang w:eastAsia="en-GB"/>
              </w:rPr>
              <w:t>(ii) proposed timings for mobilisation of plant, delivery of materials and installation works; and</w:t>
            </w:r>
          </w:p>
        </w:tc>
      </w:tr>
      <w:tr w:rsidR="00876F24" w:rsidRPr="00B91524" w14:paraId="27DD7D74" w14:textId="77777777" w:rsidTr="00CF42C5">
        <w:trPr>
          <w:trHeight w:val="1167"/>
        </w:trPr>
        <w:tc>
          <w:tcPr>
            <w:tcW w:w="5000" w:type="pct"/>
            <w:tcBorders>
              <w:top w:val="nil"/>
              <w:left w:val="single" w:sz="8" w:space="0" w:color="1D4477"/>
              <w:bottom w:val="single" w:sz="8" w:space="0" w:color="1D4477"/>
              <w:right w:val="single" w:sz="8" w:space="0" w:color="1D4477"/>
            </w:tcBorders>
            <w:shd w:val="clear" w:color="000000" w:fill="C4D7F0"/>
            <w:vAlign w:val="center"/>
            <w:hideMark/>
          </w:tcPr>
          <w:p w14:paraId="1D502D10" w14:textId="77777777" w:rsidR="00876F24" w:rsidRPr="00B91524" w:rsidRDefault="00876F24" w:rsidP="00876F24">
            <w:pPr>
              <w:spacing w:after="0"/>
              <w:rPr>
                <w:rFonts w:cs="Arial"/>
                <w:color w:val="000000"/>
                <w:sz w:val="18"/>
                <w:szCs w:val="18"/>
                <w:lang w:eastAsia="en-GB"/>
              </w:rPr>
            </w:pPr>
            <w:r w:rsidRPr="00B91524">
              <w:rPr>
                <w:rFonts w:cs="Arial"/>
                <w:color w:val="000000"/>
                <w:sz w:val="18"/>
                <w:szCs w:val="18"/>
                <w:lang w:eastAsia="en-GB"/>
              </w:rPr>
              <w:t>(iii) proposed pre-construction surveys, a proposed format and content for a baseline report, construction monitoring, post-construction monitoring and related reporting in consultation with the relevant statutory nature conservation body. The preconstruction survey programme and all pre-construction survey methodologies must be submitted to the MMO for written approval at least 4 months before commencement of any survey works detailed within;</w:t>
            </w:r>
          </w:p>
        </w:tc>
      </w:tr>
      <w:tr w:rsidR="00876F24" w:rsidRPr="00B91524" w14:paraId="06458CB0" w14:textId="77777777" w:rsidTr="00764144">
        <w:trPr>
          <w:trHeight w:val="383"/>
        </w:trPr>
        <w:tc>
          <w:tcPr>
            <w:tcW w:w="5000" w:type="pct"/>
            <w:tcBorders>
              <w:top w:val="nil"/>
              <w:left w:val="single" w:sz="8" w:space="0" w:color="1D4477"/>
              <w:bottom w:val="nil"/>
              <w:right w:val="single" w:sz="8" w:space="0" w:color="1D4477"/>
            </w:tcBorders>
            <w:shd w:val="clear" w:color="000000" w:fill="C4D7F0"/>
            <w:vAlign w:val="center"/>
            <w:hideMark/>
          </w:tcPr>
          <w:p w14:paraId="77229F48" w14:textId="77777777" w:rsidR="00876F24" w:rsidRPr="00B91524" w:rsidRDefault="00876F24" w:rsidP="00876F24">
            <w:pPr>
              <w:spacing w:after="0"/>
              <w:rPr>
                <w:rFonts w:cs="Arial"/>
                <w:b/>
                <w:bCs/>
                <w:i/>
                <w:iCs/>
                <w:color w:val="000000"/>
                <w:sz w:val="18"/>
                <w:szCs w:val="18"/>
                <w:lang w:eastAsia="en-GB"/>
              </w:rPr>
            </w:pPr>
            <w:r w:rsidRPr="00B91524">
              <w:rPr>
                <w:rFonts w:cs="Arial"/>
                <w:b/>
                <w:bCs/>
                <w:i/>
                <w:iCs/>
                <w:color w:val="000000"/>
                <w:sz w:val="18"/>
                <w:szCs w:val="18"/>
                <w:lang w:eastAsia="en-GB"/>
              </w:rPr>
              <w:t>Pre-construction monitoring</w:t>
            </w:r>
          </w:p>
        </w:tc>
      </w:tr>
      <w:tr w:rsidR="00876F24" w:rsidRPr="00B91524" w14:paraId="7EFD7CD4" w14:textId="77777777" w:rsidTr="00876F24">
        <w:trPr>
          <w:trHeight w:val="1440"/>
        </w:trPr>
        <w:tc>
          <w:tcPr>
            <w:tcW w:w="5000" w:type="pct"/>
            <w:tcBorders>
              <w:top w:val="nil"/>
              <w:left w:val="single" w:sz="8" w:space="0" w:color="1D4477"/>
              <w:bottom w:val="nil"/>
              <w:right w:val="single" w:sz="8" w:space="0" w:color="1D4477"/>
            </w:tcBorders>
            <w:shd w:val="clear" w:color="000000" w:fill="C4D7F0"/>
            <w:vAlign w:val="center"/>
            <w:hideMark/>
          </w:tcPr>
          <w:p w14:paraId="7885BC6C" w14:textId="5CF5A82B" w:rsidR="00876F24" w:rsidRPr="00B91524" w:rsidRDefault="00876F24" w:rsidP="00876F24">
            <w:pPr>
              <w:spacing w:after="0"/>
              <w:rPr>
                <w:rFonts w:cs="Arial"/>
                <w:color w:val="000000"/>
                <w:sz w:val="18"/>
                <w:szCs w:val="18"/>
                <w:lang w:eastAsia="en-GB"/>
              </w:rPr>
            </w:pPr>
            <w:r w:rsidRPr="00B91524">
              <w:rPr>
                <w:rFonts w:cs="Arial"/>
                <w:b/>
                <w:bCs/>
                <w:color w:val="000000"/>
                <w:sz w:val="18"/>
                <w:szCs w:val="18"/>
                <w:lang w:eastAsia="en-GB"/>
              </w:rPr>
              <w:t>19.</w:t>
            </w:r>
            <w:r w:rsidRPr="00B91524">
              <w:rPr>
                <w:rFonts w:cs="Arial"/>
                <w:color w:val="000000"/>
                <w:sz w:val="18"/>
                <w:szCs w:val="18"/>
                <w:lang w:eastAsia="en-GB"/>
              </w:rPr>
              <w:t>—(1) The undertaker must, in discharging Condition 14(b), and the requirement to prepare a detailed construction and monitoring programme, include details for written approval by the MMO of proposed pre-construction surveys, including methodologies and timings, and a proposed format and content for a pre-construction baseline report. The survey proposals must be in accordance with the principles set out in the offshore in principle monitoring plan and must specify each survey’s objectives and explain how it assists in either informing a useful and valid comparison with the post-construction position or enables the validation or otherwise of key predictions in the environmental statement. The baseline report proposals must ensure that the outcome of the agreed surveys together with existing data and reports are drawn together to present a valid statement of the pre-construction position, with any limitations, and must make clear what post construction comparison is intended and the justification for this being required.</w:t>
            </w:r>
          </w:p>
          <w:p w14:paraId="57416597" w14:textId="77777777" w:rsidR="00CF42C5" w:rsidRPr="00B91524" w:rsidRDefault="00CF42C5" w:rsidP="00876F24">
            <w:pPr>
              <w:spacing w:after="0"/>
              <w:rPr>
                <w:rFonts w:cs="Arial"/>
                <w:color w:val="000000"/>
                <w:sz w:val="18"/>
                <w:szCs w:val="18"/>
                <w:lang w:eastAsia="en-GB"/>
              </w:rPr>
            </w:pPr>
          </w:p>
          <w:p w14:paraId="3532F569" w14:textId="05C8843D" w:rsidR="00764144" w:rsidRPr="00B91524" w:rsidRDefault="00764144" w:rsidP="00876F24">
            <w:pPr>
              <w:spacing w:after="0"/>
              <w:rPr>
                <w:rFonts w:cs="Arial"/>
                <w:b/>
                <w:bCs/>
                <w:color w:val="000000"/>
                <w:sz w:val="18"/>
                <w:szCs w:val="18"/>
                <w:lang w:eastAsia="en-GB"/>
              </w:rPr>
            </w:pPr>
          </w:p>
        </w:tc>
      </w:tr>
      <w:tr w:rsidR="00876F24" w:rsidRPr="00B91524" w14:paraId="7F6DC8F7" w14:textId="77777777" w:rsidTr="00876F24">
        <w:trPr>
          <w:trHeight w:val="300"/>
        </w:trPr>
        <w:tc>
          <w:tcPr>
            <w:tcW w:w="5000" w:type="pct"/>
            <w:tcBorders>
              <w:top w:val="nil"/>
              <w:left w:val="single" w:sz="8" w:space="0" w:color="1D4477"/>
              <w:bottom w:val="nil"/>
              <w:right w:val="single" w:sz="8" w:space="0" w:color="1D4477"/>
            </w:tcBorders>
            <w:shd w:val="clear" w:color="000000" w:fill="C4D7F0"/>
            <w:vAlign w:val="center"/>
            <w:hideMark/>
          </w:tcPr>
          <w:p w14:paraId="69FFCF1F" w14:textId="02E3483F" w:rsidR="00876F24" w:rsidRPr="00B91524" w:rsidRDefault="00876F24" w:rsidP="00876F24">
            <w:pPr>
              <w:spacing w:after="0"/>
              <w:rPr>
                <w:rFonts w:cs="Arial"/>
                <w:color w:val="000000"/>
                <w:sz w:val="18"/>
                <w:szCs w:val="18"/>
                <w:lang w:eastAsia="en-GB"/>
              </w:rPr>
            </w:pPr>
            <w:r w:rsidRPr="00B91524">
              <w:rPr>
                <w:rFonts w:cs="Arial"/>
                <w:color w:val="000000"/>
                <w:sz w:val="18"/>
                <w:szCs w:val="18"/>
                <w:lang w:eastAsia="en-GB"/>
              </w:rPr>
              <w:t>(2) Subject to receipt from the undertaker of specific proposals pursuant to this Condition, where appropriate and necessary it is expected that the pre-construction surveys will comprise—</w:t>
            </w:r>
          </w:p>
          <w:p w14:paraId="64574C10" w14:textId="77777777" w:rsidR="00CF42C5" w:rsidRPr="00B91524" w:rsidRDefault="00CF42C5" w:rsidP="00876F24">
            <w:pPr>
              <w:spacing w:after="0"/>
              <w:rPr>
                <w:rFonts w:cs="Arial"/>
                <w:color w:val="000000"/>
                <w:sz w:val="18"/>
                <w:szCs w:val="18"/>
                <w:lang w:eastAsia="en-GB"/>
              </w:rPr>
            </w:pPr>
          </w:p>
          <w:p w14:paraId="5DAAE05A" w14:textId="3D9A7824" w:rsidR="00764144" w:rsidRPr="00B91524" w:rsidRDefault="00764144" w:rsidP="00876F24">
            <w:pPr>
              <w:spacing w:after="0"/>
              <w:rPr>
                <w:rFonts w:cs="Arial"/>
                <w:color w:val="000000"/>
                <w:sz w:val="18"/>
                <w:szCs w:val="18"/>
                <w:lang w:eastAsia="en-GB"/>
              </w:rPr>
            </w:pPr>
          </w:p>
        </w:tc>
      </w:tr>
      <w:tr w:rsidR="00876F24" w:rsidRPr="00B91524" w14:paraId="379CC48B" w14:textId="77777777" w:rsidTr="00876F24">
        <w:trPr>
          <w:trHeight w:val="480"/>
        </w:trPr>
        <w:tc>
          <w:tcPr>
            <w:tcW w:w="5000" w:type="pct"/>
            <w:tcBorders>
              <w:top w:val="nil"/>
              <w:left w:val="single" w:sz="8" w:space="0" w:color="1D4477"/>
              <w:bottom w:val="nil"/>
              <w:right w:val="single" w:sz="8" w:space="0" w:color="1D4477"/>
            </w:tcBorders>
            <w:shd w:val="clear" w:color="000000" w:fill="C4D7F0"/>
            <w:vAlign w:val="center"/>
            <w:hideMark/>
          </w:tcPr>
          <w:p w14:paraId="31C397A1" w14:textId="77777777" w:rsidR="00876F24" w:rsidRPr="00B91524" w:rsidRDefault="00876F24" w:rsidP="00876F24">
            <w:pPr>
              <w:spacing w:after="0"/>
              <w:rPr>
                <w:rFonts w:cs="Arial"/>
                <w:color w:val="000000"/>
                <w:sz w:val="18"/>
                <w:szCs w:val="18"/>
                <w:lang w:eastAsia="en-GB"/>
              </w:rPr>
            </w:pPr>
            <w:r w:rsidRPr="00B91524">
              <w:rPr>
                <w:rFonts w:cs="Arial"/>
                <w:color w:val="000000"/>
                <w:sz w:val="18"/>
                <w:szCs w:val="18"/>
                <w:lang w:eastAsia="en-GB"/>
              </w:rPr>
              <w:t>(a) an appropriate survey to determine the location and reasonable extent of any benthic habitats of conservation, ecological or economic importance including (Annex 1 habitats) in whole or in part inside the areas within the Order limits in which it is proposed to carry out construction works; and</w:t>
            </w:r>
          </w:p>
        </w:tc>
      </w:tr>
      <w:tr w:rsidR="00876F24" w:rsidRPr="00B91524" w14:paraId="19866852" w14:textId="77777777" w:rsidTr="00764144">
        <w:trPr>
          <w:trHeight w:val="817"/>
        </w:trPr>
        <w:tc>
          <w:tcPr>
            <w:tcW w:w="5000" w:type="pct"/>
            <w:tcBorders>
              <w:top w:val="nil"/>
              <w:left w:val="single" w:sz="8" w:space="0" w:color="1D4477"/>
              <w:bottom w:val="single" w:sz="8" w:space="0" w:color="1D4477"/>
              <w:right w:val="single" w:sz="8" w:space="0" w:color="1D4477"/>
            </w:tcBorders>
            <w:shd w:val="clear" w:color="000000" w:fill="C4D7F0"/>
            <w:vAlign w:val="center"/>
            <w:hideMark/>
          </w:tcPr>
          <w:p w14:paraId="142CE629" w14:textId="77777777" w:rsidR="00876F24" w:rsidRPr="00B91524" w:rsidRDefault="00876F24" w:rsidP="00876F24">
            <w:pPr>
              <w:spacing w:after="0"/>
              <w:rPr>
                <w:rFonts w:cs="Arial"/>
                <w:color w:val="000000"/>
                <w:sz w:val="18"/>
                <w:szCs w:val="18"/>
                <w:lang w:eastAsia="en-GB"/>
              </w:rPr>
            </w:pPr>
            <w:r w:rsidRPr="00B91524">
              <w:rPr>
                <w:rFonts w:cs="Arial"/>
                <w:color w:val="000000"/>
                <w:sz w:val="18"/>
                <w:szCs w:val="18"/>
                <w:lang w:eastAsia="en-GB"/>
              </w:rPr>
              <w:t>(3) The undertaker must carry out and complete the surveys to be undertaken under subparagraph (1) in a timescale agreed by the MMO.</w:t>
            </w:r>
          </w:p>
        </w:tc>
      </w:tr>
      <w:tr w:rsidR="00876F24" w:rsidRPr="00B91524" w14:paraId="08F6D1A0" w14:textId="77777777" w:rsidTr="00CF42C5">
        <w:trPr>
          <w:trHeight w:val="445"/>
        </w:trPr>
        <w:tc>
          <w:tcPr>
            <w:tcW w:w="5000" w:type="pct"/>
            <w:tcBorders>
              <w:top w:val="nil"/>
              <w:left w:val="single" w:sz="8" w:space="0" w:color="1D4477"/>
              <w:bottom w:val="nil"/>
              <w:right w:val="single" w:sz="8" w:space="0" w:color="1D4477"/>
            </w:tcBorders>
            <w:shd w:val="clear" w:color="000000" w:fill="C4D7F0"/>
            <w:vAlign w:val="center"/>
            <w:hideMark/>
          </w:tcPr>
          <w:p w14:paraId="545CD8D2" w14:textId="77777777" w:rsidR="00876F24" w:rsidRPr="00B91524" w:rsidRDefault="00876F24" w:rsidP="00876F24">
            <w:pPr>
              <w:spacing w:after="0"/>
              <w:rPr>
                <w:rFonts w:cs="Arial"/>
                <w:b/>
                <w:bCs/>
                <w:i/>
                <w:iCs/>
                <w:color w:val="000000"/>
                <w:sz w:val="18"/>
                <w:szCs w:val="18"/>
                <w:lang w:eastAsia="en-GB"/>
              </w:rPr>
            </w:pPr>
            <w:r w:rsidRPr="00B91524">
              <w:rPr>
                <w:rFonts w:cs="Arial"/>
                <w:b/>
                <w:bCs/>
                <w:i/>
                <w:iCs/>
                <w:color w:val="000000"/>
                <w:sz w:val="18"/>
                <w:szCs w:val="18"/>
                <w:lang w:eastAsia="en-GB"/>
              </w:rPr>
              <w:t>Post construction monitoring</w:t>
            </w:r>
          </w:p>
        </w:tc>
      </w:tr>
      <w:tr w:rsidR="00876F24" w:rsidRPr="00B91524" w14:paraId="19F3FADA" w14:textId="77777777" w:rsidTr="00876F24">
        <w:trPr>
          <w:trHeight w:val="960"/>
        </w:trPr>
        <w:tc>
          <w:tcPr>
            <w:tcW w:w="5000" w:type="pct"/>
            <w:tcBorders>
              <w:top w:val="nil"/>
              <w:left w:val="single" w:sz="8" w:space="0" w:color="1D4477"/>
              <w:bottom w:val="nil"/>
              <w:right w:val="single" w:sz="8" w:space="0" w:color="1D4477"/>
            </w:tcBorders>
            <w:shd w:val="clear" w:color="000000" w:fill="C4D7F0"/>
            <w:vAlign w:val="center"/>
            <w:hideMark/>
          </w:tcPr>
          <w:p w14:paraId="6B6F965F" w14:textId="040DDDFB" w:rsidR="00876F24" w:rsidRPr="00B91524" w:rsidRDefault="00876F24" w:rsidP="00876F24">
            <w:pPr>
              <w:spacing w:after="0"/>
              <w:rPr>
                <w:rFonts w:cs="Arial"/>
                <w:color w:val="000000"/>
                <w:sz w:val="18"/>
                <w:szCs w:val="18"/>
                <w:lang w:eastAsia="en-GB"/>
              </w:rPr>
            </w:pPr>
            <w:r w:rsidRPr="00B91524">
              <w:rPr>
                <w:rFonts w:cs="Arial"/>
                <w:b/>
                <w:bCs/>
                <w:color w:val="000000"/>
                <w:sz w:val="18"/>
                <w:szCs w:val="18"/>
                <w:lang w:eastAsia="en-GB"/>
              </w:rPr>
              <w:t>21.</w:t>
            </w:r>
            <w:r w:rsidRPr="00B91524">
              <w:rPr>
                <w:rFonts w:cs="Arial"/>
                <w:color w:val="000000"/>
                <w:sz w:val="18"/>
                <w:szCs w:val="18"/>
                <w:lang w:eastAsia="en-GB"/>
              </w:rPr>
              <w:t>—(1) The undertaker must, in discharging Condition 14(b), submit details for written approval by the MMO of the 3 post-construction surveys proposed in sub-paragraph (2), including methodologies and timings, and a proposed format, content and timings for providing reports on the results at least 4 months before commencement of any survey works detailed within. The survey proposals must be in accordance with the principles set out in the offshore in principle monitoring plan and specify each survey’s objectives and explain how it assists in either informing a useful and valid comparison with the pre-construction position or enables the validation or otherwise of key predictions in the environmental statement.</w:t>
            </w:r>
          </w:p>
          <w:p w14:paraId="23099A56" w14:textId="77777777" w:rsidR="00CF42C5" w:rsidRPr="00B91524" w:rsidRDefault="00CF42C5" w:rsidP="00876F24">
            <w:pPr>
              <w:spacing w:after="0"/>
              <w:rPr>
                <w:rFonts w:cs="Arial"/>
                <w:color w:val="000000"/>
                <w:sz w:val="18"/>
                <w:szCs w:val="18"/>
                <w:lang w:eastAsia="en-GB"/>
              </w:rPr>
            </w:pPr>
          </w:p>
          <w:p w14:paraId="7FD498B9" w14:textId="21CDB398" w:rsidR="00CF42C5" w:rsidRPr="00B91524" w:rsidRDefault="00CF42C5" w:rsidP="00876F24">
            <w:pPr>
              <w:spacing w:after="0"/>
              <w:rPr>
                <w:rFonts w:cs="Arial"/>
                <w:b/>
                <w:bCs/>
                <w:color w:val="000000"/>
                <w:sz w:val="18"/>
                <w:szCs w:val="18"/>
                <w:lang w:eastAsia="en-GB"/>
              </w:rPr>
            </w:pPr>
          </w:p>
        </w:tc>
      </w:tr>
      <w:tr w:rsidR="00876F24" w:rsidRPr="00B91524" w14:paraId="40999B69" w14:textId="77777777" w:rsidTr="00876F24">
        <w:trPr>
          <w:trHeight w:val="300"/>
        </w:trPr>
        <w:tc>
          <w:tcPr>
            <w:tcW w:w="5000" w:type="pct"/>
            <w:tcBorders>
              <w:top w:val="nil"/>
              <w:left w:val="single" w:sz="8" w:space="0" w:color="1D4477"/>
              <w:bottom w:val="nil"/>
              <w:right w:val="single" w:sz="8" w:space="0" w:color="1D4477"/>
            </w:tcBorders>
            <w:shd w:val="clear" w:color="000000" w:fill="C4D7F0"/>
            <w:vAlign w:val="center"/>
            <w:hideMark/>
          </w:tcPr>
          <w:p w14:paraId="24D9F59B" w14:textId="427298E7" w:rsidR="00876F24" w:rsidRPr="00B91524" w:rsidRDefault="00876F24" w:rsidP="00876F24">
            <w:pPr>
              <w:spacing w:after="0"/>
              <w:rPr>
                <w:rFonts w:cs="Arial"/>
                <w:color w:val="000000"/>
                <w:sz w:val="18"/>
                <w:szCs w:val="18"/>
                <w:lang w:eastAsia="en-GB"/>
              </w:rPr>
            </w:pPr>
            <w:r w:rsidRPr="00B91524">
              <w:rPr>
                <w:rFonts w:cs="Arial"/>
                <w:color w:val="000000"/>
                <w:sz w:val="18"/>
                <w:szCs w:val="18"/>
                <w:lang w:eastAsia="en-GB"/>
              </w:rPr>
              <w:t>(2) Subject to receipt of specific proposals, it is expected that the post-construction surveys will comprise—</w:t>
            </w:r>
          </w:p>
          <w:p w14:paraId="4160B095" w14:textId="77777777" w:rsidR="00CF42C5" w:rsidRPr="00B91524" w:rsidRDefault="00CF42C5" w:rsidP="00876F24">
            <w:pPr>
              <w:spacing w:after="0"/>
              <w:rPr>
                <w:rFonts w:cs="Arial"/>
                <w:color w:val="000000"/>
                <w:sz w:val="18"/>
                <w:szCs w:val="18"/>
                <w:lang w:eastAsia="en-GB"/>
              </w:rPr>
            </w:pPr>
          </w:p>
          <w:p w14:paraId="3FEB4A99" w14:textId="32E8B7A5" w:rsidR="00CF42C5" w:rsidRPr="00B91524" w:rsidRDefault="00CF42C5" w:rsidP="00876F24">
            <w:pPr>
              <w:spacing w:after="0"/>
              <w:rPr>
                <w:rFonts w:cs="Arial"/>
                <w:color w:val="000000"/>
                <w:sz w:val="18"/>
                <w:szCs w:val="18"/>
                <w:lang w:eastAsia="en-GB"/>
              </w:rPr>
            </w:pPr>
          </w:p>
        </w:tc>
      </w:tr>
      <w:tr w:rsidR="00876F24" w:rsidRPr="00B91524" w14:paraId="76B3F51D" w14:textId="77777777" w:rsidTr="00876F24">
        <w:trPr>
          <w:trHeight w:val="720"/>
        </w:trPr>
        <w:tc>
          <w:tcPr>
            <w:tcW w:w="5000" w:type="pct"/>
            <w:tcBorders>
              <w:top w:val="nil"/>
              <w:left w:val="single" w:sz="8" w:space="0" w:color="1D4477"/>
              <w:bottom w:val="nil"/>
              <w:right w:val="single" w:sz="8" w:space="0" w:color="1D4477"/>
            </w:tcBorders>
            <w:shd w:val="clear" w:color="000000" w:fill="C4D7F0"/>
            <w:vAlign w:val="center"/>
            <w:hideMark/>
          </w:tcPr>
          <w:p w14:paraId="5FEBDE17" w14:textId="77777777" w:rsidR="00876F24" w:rsidRPr="00B91524" w:rsidRDefault="00876F24" w:rsidP="00876F24">
            <w:pPr>
              <w:spacing w:after="0"/>
              <w:rPr>
                <w:rFonts w:cs="Arial"/>
                <w:color w:val="000000"/>
                <w:sz w:val="18"/>
                <w:szCs w:val="18"/>
                <w:lang w:eastAsia="en-GB"/>
              </w:rPr>
            </w:pPr>
            <w:r w:rsidRPr="00B91524">
              <w:rPr>
                <w:rFonts w:cs="Arial"/>
                <w:color w:val="000000"/>
                <w:sz w:val="18"/>
                <w:szCs w:val="18"/>
                <w:lang w:eastAsia="en-GB"/>
              </w:rPr>
              <w:t>(b) dependent on the outcome of the surveys undertaken under Condition 19(2)(a), appropriate surveys to determine the effects of construction activity on any benthic habitats of conservation, ecological or economic importance (including Annex 1 habitats) in whole or in part inside the areas within the Order limits to validate predictions made in the environmental statement and to identify the presence of any non-native species and wider community type structure; and</w:t>
            </w:r>
          </w:p>
        </w:tc>
      </w:tr>
      <w:tr w:rsidR="00876F24" w:rsidRPr="00B91524" w14:paraId="5CF4C1F1" w14:textId="77777777" w:rsidTr="00CF42C5">
        <w:trPr>
          <w:trHeight w:val="848"/>
        </w:trPr>
        <w:tc>
          <w:tcPr>
            <w:tcW w:w="5000" w:type="pct"/>
            <w:tcBorders>
              <w:top w:val="nil"/>
              <w:left w:val="single" w:sz="8" w:space="0" w:color="1D4477"/>
              <w:bottom w:val="single" w:sz="8" w:space="0" w:color="1D4477"/>
              <w:right w:val="single" w:sz="8" w:space="0" w:color="1D4477"/>
            </w:tcBorders>
            <w:shd w:val="clear" w:color="000000" w:fill="C4D7F0"/>
            <w:vAlign w:val="center"/>
            <w:hideMark/>
          </w:tcPr>
          <w:p w14:paraId="70CF54CA" w14:textId="77777777" w:rsidR="00876F24" w:rsidRPr="00B91524" w:rsidRDefault="00876F24" w:rsidP="00876F24">
            <w:pPr>
              <w:spacing w:after="0"/>
              <w:rPr>
                <w:rFonts w:cs="Arial"/>
                <w:color w:val="000000"/>
                <w:sz w:val="18"/>
                <w:szCs w:val="18"/>
                <w:lang w:eastAsia="en-GB"/>
              </w:rPr>
            </w:pPr>
            <w:r w:rsidRPr="00B91524">
              <w:rPr>
                <w:rFonts w:cs="Arial"/>
                <w:color w:val="000000"/>
                <w:sz w:val="18"/>
                <w:szCs w:val="18"/>
                <w:lang w:eastAsia="en-GB"/>
              </w:rPr>
              <w:t>(3) The undertaker must carry out the surveys under sub-paragraph (1) and provide the reports in the agreed format in accordance with the timetable agreed in writing by the MMO following consultation with the relevant statutory nature conservation body.</w:t>
            </w:r>
          </w:p>
        </w:tc>
      </w:tr>
    </w:tbl>
    <w:p w14:paraId="3DCC7245" w14:textId="77777777" w:rsidR="00C85CF3" w:rsidRPr="00B91524" w:rsidRDefault="00C85CF3" w:rsidP="00876F24">
      <w:pPr>
        <w:sectPr w:rsidR="00C85CF3" w:rsidRPr="00B91524" w:rsidSect="00660AD8">
          <w:headerReference w:type="default" r:id="rId14"/>
          <w:footerReference w:type="default" r:id="rId15"/>
          <w:pgSz w:w="11916" w:h="16848"/>
          <w:pgMar w:top="1440" w:right="1080" w:bottom="1440" w:left="1080" w:header="850" w:footer="708" w:gutter="0"/>
          <w:cols w:space="720"/>
          <w:docGrid w:linePitch="360"/>
        </w:sectPr>
      </w:pPr>
    </w:p>
    <w:p w14:paraId="69B6DB9B" w14:textId="76387EC8" w:rsidR="00876F24" w:rsidRPr="00B91524" w:rsidRDefault="00C85CF3" w:rsidP="00C85CF3">
      <w:pPr>
        <w:pStyle w:val="Caption"/>
      </w:pPr>
      <w:bookmarkStart w:id="15" w:name="_Ref45269536"/>
      <w:bookmarkStart w:id="16" w:name="_Toc61597202"/>
      <w:r w:rsidRPr="00B91524">
        <w:lastRenderedPageBreak/>
        <w:t xml:space="preserve">Table </w:t>
      </w:r>
      <w:r w:rsidR="00683595">
        <w:fldChar w:fldCharType="begin"/>
      </w:r>
      <w:r w:rsidR="00683595">
        <w:instrText xml:space="preserve"> STYLEREF 1 \s </w:instrText>
      </w:r>
      <w:r w:rsidR="00683595">
        <w:fldChar w:fldCharType="separate"/>
      </w:r>
      <w:r w:rsidR="00683595">
        <w:rPr>
          <w:noProof/>
        </w:rPr>
        <w:t>1</w:t>
      </w:r>
      <w:r w:rsidR="00683595">
        <w:rPr>
          <w:noProof/>
        </w:rPr>
        <w:fldChar w:fldCharType="end"/>
      </w:r>
      <w:r w:rsidR="00C82285" w:rsidRPr="00B91524">
        <w:noBreakHyphen/>
      </w:r>
      <w:r w:rsidR="00683595">
        <w:fldChar w:fldCharType="begin"/>
      </w:r>
      <w:r w:rsidR="00683595">
        <w:instrText xml:space="preserve"> SEQ Table \* ARABIC \s 1 </w:instrText>
      </w:r>
      <w:r w:rsidR="00683595">
        <w:fldChar w:fldCharType="separate"/>
      </w:r>
      <w:r w:rsidR="00683595">
        <w:rPr>
          <w:noProof/>
        </w:rPr>
        <w:t>3</w:t>
      </w:r>
      <w:r w:rsidR="00683595">
        <w:rPr>
          <w:noProof/>
        </w:rPr>
        <w:fldChar w:fldCharType="end"/>
      </w:r>
      <w:bookmarkEnd w:id="15"/>
      <w:r w:rsidR="00437B30" w:rsidRPr="00B91524">
        <w:t xml:space="preserve"> Monitoring requirements based on the </w:t>
      </w:r>
      <w:proofErr w:type="spellStart"/>
      <w:r w:rsidR="00437B30" w:rsidRPr="00B91524">
        <w:t>dML</w:t>
      </w:r>
      <w:proofErr w:type="spellEnd"/>
      <w:r w:rsidR="00437B30" w:rsidRPr="00B91524">
        <w:t xml:space="preserve"> conditions</w:t>
      </w:r>
      <w:r w:rsidR="00D43BA3" w:rsidRPr="00B91524">
        <w:t xml:space="preserve">, </w:t>
      </w:r>
      <w:r w:rsidR="00437B30" w:rsidRPr="00B91524">
        <w:t>IPMP</w:t>
      </w:r>
      <w:r w:rsidR="008E0ADA" w:rsidRPr="00B91524">
        <w:t>. Dogger Bank SAC monitoring objectives</w:t>
      </w:r>
      <w:r w:rsidR="00D43BA3" w:rsidRPr="00B91524">
        <w:t xml:space="preserve"> and existing benthic ecology knowledge within the SOWF Order Limits.</w:t>
      </w:r>
      <w:bookmarkEnd w:id="16"/>
      <w:r w:rsidR="00D43BA3" w:rsidRPr="00B91524">
        <w:t xml:space="preserve"> </w:t>
      </w:r>
      <w:r w:rsidR="00437B30" w:rsidRPr="00B91524">
        <w:t xml:space="preserve"> </w:t>
      </w:r>
    </w:p>
    <w:tbl>
      <w:tblPr>
        <w:tblW w:w="4968" w:type="pct"/>
        <w:tblLook w:val="04A0" w:firstRow="1" w:lastRow="0" w:firstColumn="1" w:lastColumn="0" w:noHBand="0" w:noVBand="1"/>
      </w:tblPr>
      <w:tblGrid>
        <w:gridCol w:w="4709"/>
        <w:gridCol w:w="3911"/>
        <w:gridCol w:w="5239"/>
      </w:tblGrid>
      <w:tr w:rsidR="00C85CF3" w:rsidRPr="00B91524" w14:paraId="5C84BFF5" w14:textId="77777777" w:rsidTr="00C85CF3">
        <w:trPr>
          <w:trHeight w:val="264"/>
        </w:trPr>
        <w:tc>
          <w:tcPr>
            <w:tcW w:w="1699" w:type="pct"/>
            <w:tcBorders>
              <w:top w:val="single" w:sz="8" w:space="0" w:color="auto"/>
              <w:left w:val="single" w:sz="8" w:space="0" w:color="auto"/>
              <w:bottom w:val="single" w:sz="8" w:space="0" w:color="auto"/>
              <w:right w:val="single" w:sz="8" w:space="0" w:color="auto"/>
            </w:tcBorders>
            <w:shd w:val="clear" w:color="000000" w:fill="1D4477"/>
            <w:vAlign w:val="center"/>
            <w:hideMark/>
          </w:tcPr>
          <w:p w14:paraId="4FEC99D1" w14:textId="5AF1BEFD" w:rsidR="00C85CF3" w:rsidRPr="00B91524" w:rsidRDefault="00D344A7" w:rsidP="00C85CF3">
            <w:pPr>
              <w:spacing w:after="0"/>
              <w:jc w:val="center"/>
              <w:rPr>
                <w:rFonts w:cs="Arial"/>
                <w:b/>
                <w:bCs/>
                <w:color w:val="FFFFFF"/>
                <w:sz w:val="18"/>
                <w:szCs w:val="18"/>
                <w:lang w:eastAsia="en-GB"/>
              </w:rPr>
            </w:pPr>
            <w:r w:rsidRPr="00B91524">
              <w:rPr>
                <w:rFonts w:cs="Arial"/>
                <w:b/>
                <w:bCs/>
                <w:color w:val="FFFFFF"/>
                <w:sz w:val="18"/>
                <w:szCs w:val="18"/>
                <w:lang w:eastAsia="en-GB"/>
              </w:rPr>
              <w:t>Monitoring</w:t>
            </w:r>
          </w:p>
        </w:tc>
        <w:tc>
          <w:tcPr>
            <w:tcW w:w="1411" w:type="pct"/>
            <w:tcBorders>
              <w:top w:val="single" w:sz="8" w:space="0" w:color="auto"/>
              <w:left w:val="nil"/>
              <w:bottom w:val="single" w:sz="8" w:space="0" w:color="auto"/>
              <w:right w:val="single" w:sz="8" w:space="0" w:color="auto"/>
            </w:tcBorders>
            <w:shd w:val="clear" w:color="000000" w:fill="1D4477"/>
            <w:vAlign w:val="center"/>
            <w:hideMark/>
          </w:tcPr>
          <w:p w14:paraId="42D5CDA7" w14:textId="4E972311" w:rsidR="00C85CF3" w:rsidRPr="00B91524" w:rsidRDefault="00C85CF3" w:rsidP="00C85CF3">
            <w:pPr>
              <w:spacing w:after="0"/>
              <w:jc w:val="center"/>
              <w:rPr>
                <w:rFonts w:cs="Arial"/>
                <w:b/>
                <w:bCs/>
                <w:color w:val="FFFFFF"/>
                <w:sz w:val="18"/>
                <w:szCs w:val="18"/>
                <w:lang w:val="fr-FR" w:eastAsia="en-GB"/>
              </w:rPr>
            </w:pPr>
            <w:r w:rsidRPr="00B91524">
              <w:rPr>
                <w:rFonts w:cs="Arial"/>
                <w:b/>
                <w:bCs/>
                <w:color w:val="FFFFFF"/>
                <w:sz w:val="18"/>
                <w:szCs w:val="18"/>
                <w:lang w:val="fr-FR" w:eastAsia="en-GB"/>
              </w:rPr>
              <w:t>Relevant ML Condition / IPMP Section</w:t>
            </w:r>
            <w:r w:rsidR="008E0ADA" w:rsidRPr="00B91524">
              <w:rPr>
                <w:rFonts w:cs="Arial"/>
                <w:b/>
                <w:bCs/>
                <w:color w:val="FFFFFF"/>
                <w:sz w:val="18"/>
                <w:szCs w:val="18"/>
                <w:lang w:val="fr-FR" w:eastAsia="en-GB"/>
              </w:rPr>
              <w:t xml:space="preserve"> / SAC Monitoring Objective</w:t>
            </w:r>
          </w:p>
        </w:tc>
        <w:tc>
          <w:tcPr>
            <w:tcW w:w="1890" w:type="pct"/>
            <w:tcBorders>
              <w:top w:val="single" w:sz="8" w:space="0" w:color="auto"/>
              <w:left w:val="nil"/>
              <w:bottom w:val="single" w:sz="8" w:space="0" w:color="auto"/>
              <w:right w:val="single" w:sz="8" w:space="0" w:color="auto"/>
            </w:tcBorders>
            <w:shd w:val="clear" w:color="000000" w:fill="1D4477"/>
            <w:vAlign w:val="center"/>
            <w:hideMark/>
          </w:tcPr>
          <w:p w14:paraId="1F3F5AA2" w14:textId="77777777" w:rsidR="00C85CF3" w:rsidRPr="00B91524" w:rsidRDefault="00C85CF3" w:rsidP="00C85CF3">
            <w:pPr>
              <w:spacing w:after="0"/>
              <w:jc w:val="center"/>
              <w:rPr>
                <w:rFonts w:cs="Arial"/>
                <w:b/>
                <w:bCs/>
                <w:color w:val="FFFFFF"/>
                <w:sz w:val="18"/>
                <w:szCs w:val="18"/>
                <w:lang w:eastAsia="en-GB"/>
              </w:rPr>
            </w:pPr>
            <w:r w:rsidRPr="00B91524">
              <w:rPr>
                <w:rFonts w:cs="Arial"/>
                <w:b/>
                <w:bCs/>
                <w:color w:val="FFFFFF"/>
                <w:sz w:val="18"/>
                <w:szCs w:val="18"/>
                <w:lang w:eastAsia="en-GB"/>
              </w:rPr>
              <w:t>Requirement</w:t>
            </w:r>
          </w:p>
        </w:tc>
      </w:tr>
      <w:tr w:rsidR="00C85CF3" w:rsidRPr="00B91524" w14:paraId="7FF63E2D" w14:textId="77777777" w:rsidTr="00C85CF3">
        <w:trPr>
          <w:trHeight w:val="420"/>
        </w:trPr>
        <w:tc>
          <w:tcPr>
            <w:tcW w:w="5000" w:type="pct"/>
            <w:gridSpan w:val="3"/>
            <w:tcBorders>
              <w:top w:val="single" w:sz="8" w:space="0" w:color="auto"/>
              <w:left w:val="single" w:sz="8" w:space="0" w:color="1D4477"/>
              <w:bottom w:val="single" w:sz="8" w:space="0" w:color="1D4477"/>
              <w:right w:val="single" w:sz="8" w:space="0" w:color="1D4477"/>
            </w:tcBorders>
            <w:shd w:val="clear" w:color="000000" w:fill="C4D7F0"/>
            <w:vAlign w:val="center"/>
            <w:hideMark/>
          </w:tcPr>
          <w:p w14:paraId="6BC5024D" w14:textId="1B1F3E47" w:rsidR="00C85CF3" w:rsidRPr="00B91524" w:rsidRDefault="00C85CF3" w:rsidP="00C85CF3">
            <w:pPr>
              <w:spacing w:after="0"/>
              <w:rPr>
                <w:rFonts w:cs="Arial"/>
                <w:b/>
                <w:bCs/>
                <w:color w:val="000000"/>
                <w:sz w:val="16"/>
                <w:szCs w:val="16"/>
                <w:lang w:eastAsia="en-GB"/>
              </w:rPr>
            </w:pPr>
            <w:r w:rsidRPr="00B91524">
              <w:rPr>
                <w:rFonts w:cs="Arial"/>
                <w:b/>
                <w:bCs/>
                <w:color w:val="000000"/>
                <w:sz w:val="16"/>
                <w:szCs w:val="16"/>
                <w:lang w:eastAsia="en-GB"/>
              </w:rPr>
              <w:t>Benthic Habitats of Conservation, Ecological and Economic Importance (</w:t>
            </w:r>
            <w:proofErr w:type="spellStart"/>
            <w:r w:rsidRPr="00B91524">
              <w:rPr>
                <w:rFonts w:cs="Arial"/>
                <w:b/>
                <w:bCs/>
                <w:color w:val="000000"/>
                <w:sz w:val="16"/>
                <w:szCs w:val="16"/>
                <w:lang w:eastAsia="en-GB"/>
              </w:rPr>
              <w:t>BHoCEEI</w:t>
            </w:r>
            <w:proofErr w:type="spellEnd"/>
            <w:r w:rsidRPr="00B91524">
              <w:rPr>
                <w:rFonts w:cs="Arial"/>
                <w:b/>
                <w:bCs/>
                <w:color w:val="000000"/>
                <w:sz w:val="16"/>
                <w:szCs w:val="16"/>
                <w:lang w:eastAsia="en-GB"/>
              </w:rPr>
              <w:t>)</w:t>
            </w:r>
            <w:r w:rsidR="00437B30" w:rsidRPr="00B91524">
              <w:rPr>
                <w:rFonts w:cs="Arial"/>
                <w:b/>
                <w:bCs/>
                <w:color w:val="000000"/>
                <w:sz w:val="16"/>
                <w:szCs w:val="16"/>
                <w:lang w:eastAsia="en-GB"/>
              </w:rPr>
              <w:t xml:space="preserve"> Monitoring</w:t>
            </w:r>
          </w:p>
        </w:tc>
      </w:tr>
      <w:tr w:rsidR="00CC2967" w:rsidRPr="00B91524" w14:paraId="613F7F02" w14:textId="77777777" w:rsidTr="00DA2072">
        <w:trPr>
          <w:trHeight w:val="1104"/>
        </w:trPr>
        <w:tc>
          <w:tcPr>
            <w:tcW w:w="1699" w:type="pct"/>
            <w:tcBorders>
              <w:top w:val="nil"/>
              <w:left w:val="single" w:sz="8" w:space="0" w:color="1D4477"/>
              <w:bottom w:val="single" w:sz="8" w:space="0" w:color="1D4477"/>
              <w:right w:val="single" w:sz="8" w:space="0" w:color="1D4477"/>
            </w:tcBorders>
            <w:shd w:val="clear" w:color="000000" w:fill="C4D7F0"/>
            <w:vAlign w:val="center"/>
            <w:hideMark/>
          </w:tcPr>
          <w:p w14:paraId="24BC4E71" w14:textId="6CD4A4C1" w:rsidR="00CC2967" w:rsidRPr="00B91524" w:rsidRDefault="00CC2967" w:rsidP="00C85CF3">
            <w:pPr>
              <w:spacing w:after="0"/>
              <w:rPr>
                <w:rFonts w:cs="Arial"/>
                <w:color w:val="000000"/>
                <w:sz w:val="16"/>
                <w:szCs w:val="16"/>
                <w:lang w:eastAsia="en-GB"/>
              </w:rPr>
            </w:pPr>
            <w:r w:rsidRPr="00B91524">
              <w:rPr>
                <w:rFonts w:cs="Arial"/>
                <w:b/>
                <w:bCs/>
                <w:color w:val="000000"/>
                <w:sz w:val="16"/>
                <w:szCs w:val="16"/>
                <w:lang w:eastAsia="en-GB"/>
              </w:rPr>
              <w:t>Sediments</w:t>
            </w:r>
            <w:r w:rsidR="008675EB" w:rsidRPr="00B91524">
              <w:rPr>
                <w:rFonts w:cs="Arial"/>
                <w:b/>
                <w:bCs/>
                <w:color w:val="000000"/>
                <w:sz w:val="16"/>
                <w:szCs w:val="16"/>
                <w:lang w:eastAsia="en-GB"/>
              </w:rPr>
              <w:t xml:space="preserve"> (Feature of Focus I)</w:t>
            </w:r>
            <w:r w:rsidRPr="00B91524">
              <w:rPr>
                <w:rFonts w:cs="Arial"/>
                <w:b/>
                <w:bCs/>
                <w:color w:val="000000"/>
                <w:sz w:val="16"/>
                <w:szCs w:val="16"/>
                <w:lang w:eastAsia="en-GB"/>
              </w:rPr>
              <w:t>:</w:t>
            </w:r>
            <w:r w:rsidRPr="00B91524">
              <w:rPr>
                <w:rFonts w:cs="Arial"/>
                <w:color w:val="000000"/>
                <w:sz w:val="16"/>
                <w:szCs w:val="16"/>
                <w:lang w:eastAsia="en-GB"/>
              </w:rPr>
              <w:br/>
            </w:r>
            <w:r w:rsidRPr="00B91524">
              <w:rPr>
                <w:rFonts w:cs="Arial"/>
                <w:color w:val="000000"/>
                <w:sz w:val="16"/>
                <w:szCs w:val="16"/>
                <w:lang w:eastAsia="en-GB"/>
              </w:rPr>
              <w:br/>
              <w:t>- Dogger Bank SAC Annex I Sand Bank feature</w:t>
            </w:r>
            <w:r w:rsidRPr="00B91524">
              <w:rPr>
                <w:rFonts w:cs="Arial"/>
                <w:color w:val="000000"/>
                <w:sz w:val="16"/>
                <w:szCs w:val="16"/>
                <w:lang w:eastAsia="en-GB"/>
              </w:rPr>
              <w:br/>
              <w:t xml:space="preserve">- Section 41 Priority Habitat ‘subtidal sands and gravels’ </w:t>
            </w:r>
            <w:r w:rsidRPr="00B91524">
              <w:rPr>
                <w:rFonts w:cs="Arial"/>
                <w:color w:val="000000"/>
                <w:sz w:val="16"/>
                <w:szCs w:val="16"/>
                <w:lang w:eastAsia="en-GB"/>
              </w:rPr>
              <w:br/>
              <w:t>- Section 41 Priority Habitat ‘mud habitats in deep water</w:t>
            </w:r>
          </w:p>
        </w:tc>
        <w:tc>
          <w:tcPr>
            <w:tcW w:w="1411" w:type="pct"/>
            <w:vMerge w:val="restart"/>
            <w:tcBorders>
              <w:top w:val="nil"/>
              <w:left w:val="single" w:sz="8" w:space="0" w:color="1D4477"/>
              <w:right w:val="single" w:sz="8" w:space="0" w:color="1D4477"/>
            </w:tcBorders>
            <w:shd w:val="clear" w:color="000000" w:fill="C4D7F0"/>
            <w:vAlign w:val="center"/>
            <w:hideMark/>
          </w:tcPr>
          <w:p w14:paraId="6F203843" w14:textId="77777777" w:rsidR="00CC2967" w:rsidRPr="00B91524" w:rsidRDefault="00CC2967" w:rsidP="00C85CF3">
            <w:pPr>
              <w:spacing w:after="0"/>
              <w:rPr>
                <w:rFonts w:cs="Arial"/>
                <w:color w:val="000000"/>
                <w:sz w:val="16"/>
                <w:szCs w:val="16"/>
                <w:lang w:eastAsia="en-GB"/>
              </w:rPr>
            </w:pPr>
            <w:r w:rsidRPr="00B91524">
              <w:rPr>
                <w:rFonts w:cs="Arial"/>
                <w:color w:val="000000"/>
                <w:sz w:val="16"/>
                <w:szCs w:val="16"/>
                <w:lang w:eastAsia="en-GB"/>
              </w:rPr>
              <w:t xml:space="preserve">▪ Conditions 16(b), 21(2) (a) and 23(2)(c) of </w:t>
            </w:r>
            <w:proofErr w:type="spellStart"/>
            <w:r w:rsidRPr="00B91524">
              <w:rPr>
                <w:rFonts w:cs="Arial"/>
                <w:color w:val="000000"/>
                <w:sz w:val="16"/>
                <w:szCs w:val="16"/>
                <w:lang w:eastAsia="en-GB"/>
              </w:rPr>
              <w:t>dML</w:t>
            </w:r>
            <w:proofErr w:type="spellEnd"/>
            <w:r w:rsidRPr="00B91524">
              <w:rPr>
                <w:rFonts w:cs="Arial"/>
                <w:color w:val="000000"/>
                <w:sz w:val="16"/>
                <w:szCs w:val="16"/>
                <w:lang w:eastAsia="en-GB"/>
              </w:rPr>
              <w:t xml:space="preserve"> 2, Schedule 9 (Offshore Generation) (Variation No. 2, April 2019)</w:t>
            </w:r>
            <w:r w:rsidRPr="00B91524">
              <w:rPr>
                <w:rFonts w:cs="Arial"/>
                <w:color w:val="000000"/>
                <w:sz w:val="16"/>
                <w:szCs w:val="16"/>
                <w:lang w:eastAsia="en-GB"/>
              </w:rPr>
              <w:br/>
            </w:r>
            <w:r w:rsidRPr="00B91524">
              <w:rPr>
                <w:rFonts w:cs="Arial"/>
                <w:color w:val="000000"/>
                <w:sz w:val="16"/>
                <w:szCs w:val="16"/>
                <w:lang w:eastAsia="en-GB"/>
              </w:rPr>
              <w:br/>
              <w:t xml:space="preserve">▪ Conditions 14(b), 19(2)(a) and 21(2)(b) of </w:t>
            </w:r>
            <w:proofErr w:type="spellStart"/>
            <w:r w:rsidRPr="00B91524">
              <w:rPr>
                <w:rFonts w:cs="Arial"/>
                <w:color w:val="000000"/>
                <w:sz w:val="16"/>
                <w:szCs w:val="16"/>
                <w:lang w:eastAsia="en-GB"/>
              </w:rPr>
              <w:t>dML</w:t>
            </w:r>
            <w:proofErr w:type="spellEnd"/>
            <w:r w:rsidRPr="00B91524">
              <w:rPr>
                <w:rFonts w:cs="Arial"/>
                <w:color w:val="000000"/>
                <w:sz w:val="16"/>
                <w:szCs w:val="16"/>
                <w:lang w:eastAsia="en-GB"/>
              </w:rPr>
              <w:t xml:space="preserve"> 4,  Schedule 11 (Offshore Transmission) (Variation No. 2, April 2019) </w:t>
            </w:r>
            <w:r w:rsidRPr="00B91524">
              <w:rPr>
                <w:rFonts w:cs="Arial"/>
                <w:color w:val="000000"/>
                <w:sz w:val="16"/>
                <w:szCs w:val="16"/>
                <w:lang w:eastAsia="en-GB"/>
              </w:rPr>
              <w:br/>
            </w:r>
            <w:r w:rsidRPr="00B91524">
              <w:rPr>
                <w:rFonts w:cs="Arial"/>
                <w:color w:val="000000"/>
                <w:sz w:val="16"/>
                <w:szCs w:val="16"/>
                <w:lang w:eastAsia="en-GB"/>
              </w:rPr>
              <w:br/>
              <w:t>▪ IPMP Section 4.5 marine (benthic) ecology</w:t>
            </w:r>
          </w:p>
          <w:p w14:paraId="541B71DB" w14:textId="77777777" w:rsidR="002A76FA" w:rsidRPr="00B91524" w:rsidRDefault="002A76FA" w:rsidP="002A76FA">
            <w:pPr>
              <w:spacing w:after="0"/>
              <w:rPr>
                <w:rFonts w:cs="Arial"/>
                <w:color w:val="000000"/>
                <w:sz w:val="16"/>
                <w:szCs w:val="16"/>
                <w:lang w:eastAsia="en-GB"/>
              </w:rPr>
            </w:pPr>
          </w:p>
          <w:p w14:paraId="671A15E5" w14:textId="48A35C63" w:rsidR="002A76FA" w:rsidRPr="00B91524" w:rsidRDefault="002A76FA" w:rsidP="002A76FA">
            <w:pPr>
              <w:spacing w:after="0"/>
              <w:rPr>
                <w:rFonts w:cs="Arial"/>
                <w:color w:val="000000"/>
                <w:sz w:val="16"/>
                <w:szCs w:val="16"/>
                <w:lang w:eastAsia="en-GB"/>
              </w:rPr>
            </w:pPr>
            <w:r w:rsidRPr="00B91524">
              <w:rPr>
                <w:rFonts w:cs="Arial"/>
                <w:color w:val="000000"/>
                <w:sz w:val="16"/>
                <w:szCs w:val="16"/>
                <w:lang w:eastAsia="en-GB"/>
              </w:rPr>
              <w:t xml:space="preserve">▪ Dogger Bank SAC </w:t>
            </w:r>
            <w:r w:rsidR="008E0ADA" w:rsidRPr="00B91524">
              <w:rPr>
                <w:rFonts w:cs="Arial"/>
                <w:color w:val="000000"/>
                <w:sz w:val="16"/>
                <w:szCs w:val="16"/>
                <w:lang w:eastAsia="en-GB"/>
              </w:rPr>
              <w:t>M</w:t>
            </w:r>
            <w:r w:rsidRPr="00B91524">
              <w:rPr>
                <w:rFonts w:cs="Arial"/>
                <w:color w:val="000000"/>
                <w:sz w:val="16"/>
                <w:szCs w:val="16"/>
                <w:lang w:eastAsia="en-GB"/>
              </w:rPr>
              <w:t>onitoring Objective 1</w:t>
            </w:r>
            <w:r w:rsidR="008E0ADA" w:rsidRPr="00B91524">
              <w:rPr>
                <w:rFonts w:cs="Arial"/>
                <w:color w:val="000000"/>
                <w:sz w:val="16"/>
                <w:szCs w:val="16"/>
                <w:lang w:eastAsia="en-GB"/>
              </w:rPr>
              <w:t xml:space="preserve"> - 4</w:t>
            </w:r>
          </w:p>
        </w:tc>
        <w:tc>
          <w:tcPr>
            <w:tcW w:w="1890" w:type="pct"/>
            <w:tcBorders>
              <w:top w:val="nil"/>
              <w:left w:val="nil"/>
              <w:bottom w:val="single" w:sz="8" w:space="0" w:color="1D4477"/>
              <w:right w:val="single" w:sz="8" w:space="0" w:color="1D4477"/>
            </w:tcBorders>
            <w:shd w:val="clear" w:color="000000" w:fill="C4D7F0"/>
            <w:vAlign w:val="center"/>
            <w:hideMark/>
          </w:tcPr>
          <w:p w14:paraId="6EC6F204" w14:textId="6443ADAD" w:rsidR="00CC2967" w:rsidRPr="00B91524" w:rsidRDefault="00CC2967" w:rsidP="00C85CF3">
            <w:pPr>
              <w:spacing w:after="0"/>
              <w:rPr>
                <w:rFonts w:cs="Arial"/>
                <w:sz w:val="16"/>
                <w:szCs w:val="16"/>
                <w:lang w:eastAsia="en-GB"/>
              </w:rPr>
            </w:pPr>
            <w:r w:rsidRPr="00B91524">
              <w:rPr>
                <w:rFonts w:cs="Arial"/>
                <w:sz w:val="16"/>
                <w:szCs w:val="16"/>
                <w:lang w:eastAsia="en-GB"/>
              </w:rPr>
              <w:t xml:space="preserve">Surveys to determine the location and reasonable extent of any </w:t>
            </w:r>
            <w:proofErr w:type="spellStart"/>
            <w:r w:rsidRPr="00B91524">
              <w:rPr>
                <w:rFonts w:cs="Arial"/>
                <w:sz w:val="16"/>
                <w:szCs w:val="16"/>
                <w:lang w:eastAsia="en-GB"/>
              </w:rPr>
              <w:t>BHoCEEI</w:t>
            </w:r>
            <w:proofErr w:type="spellEnd"/>
            <w:r w:rsidRPr="00B91524">
              <w:rPr>
                <w:rFonts w:cs="Arial"/>
                <w:sz w:val="16"/>
                <w:szCs w:val="16"/>
                <w:lang w:eastAsia="en-GB"/>
              </w:rPr>
              <w:t xml:space="preserve"> in whole or in part inside the areas within the Order limits in which it is proposed to carry out construction works. The approach to surveying these sediment habitats is set out in </w:t>
            </w:r>
            <w:r w:rsidRPr="00B91524">
              <w:rPr>
                <w:rFonts w:cs="Arial"/>
                <w:b/>
                <w:bCs/>
                <w:sz w:val="16"/>
                <w:szCs w:val="16"/>
                <w:lang w:eastAsia="en-GB"/>
              </w:rPr>
              <w:t xml:space="preserve">Section </w:t>
            </w:r>
            <w:r w:rsidR="00F51211" w:rsidRPr="00B91524">
              <w:rPr>
                <w:rFonts w:cs="Arial"/>
                <w:b/>
                <w:bCs/>
                <w:sz w:val="16"/>
                <w:szCs w:val="16"/>
                <w:lang w:eastAsia="en-GB"/>
              </w:rPr>
              <w:fldChar w:fldCharType="begin"/>
            </w:r>
            <w:r w:rsidR="00F51211" w:rsidRPr="00B91524">
              <w:rPr>
                <w:rFonts w:cs="Arial"/>
                <w:b/>
                <w:bCs/>
                <w:sz w:val="16"/>
                <w:szCs w:val="16"/>
                <w:lang w:eastAsia="en-GB"/>
              </w:rPr>
              <w:instrText xml:space="preserve"> REF _Ref46089718 \r \h </w:instrText>
            </w:r>
            <w:r w:rsidR="002A76FA" w:rsidRPr="00B91524">
              <w:rPr>
                <w:rFonts w:cs="Arial"/>
                <w:b/>
                <w:bCs/>
                <w:sz w:val="16"/>
                <w:szCs w:val="16"/>
                <w:lang w:eastAsia="en-GB"/>
              </w:rPr>
              <w:instrText xml:space="preserve"> \* MERGEFORMAT </w:instrText>
            </w:r>
            <w:r w:rsidR="00F51211" w:rsidRPr="00B91524">
              <w:rPr>
                <w:rFonts w:cs="Arial"/>
                <w:b/>
                <w:bCs/>
                <w:sz w:val="16"/>
                <w:szCs w:val="16"/>
                <w:lang w:eastAsia="en-GB"/>
              </w:rPr>
            </w:r>
            <w:r w:rsidR="00F51211" w:rsidRPr="00B91524">
              <w:rPr>
                <w:rFonts w:cs="Arial"/>
                <w:b/>
                <w:bCs/>
                <w:sz w:val="16"/>
                <w:szCs w:val="16"/>
                <w:lang w:eastAsia="en-GB"/>
              </w:rPr>
              <w:fldChar w:fldCharType="separate"/>
            </w:r>
            <w:r w:rsidR="00683595">
              <w:rPr>
                <w:rFonts w:cs="Arial"/>
                <w:b/>
                <w:bCs/>
                <w:sz w:val="16"/>
                <w:szCs w:val="16"/>
                <w:lang w:eastAsia="en-GB"/>
              </w:rPr>
              <w:t>4.2</w:t>
            </w:r>
            <w:r w:rsidR="00F51211" w:rsidRPr="00B91524">
              <w:rPr>
                <w:rFonts w:cs="Arial"/>
                <w:b/>
                <w:bCs/>
                <w:sz w:val="16"/>
                <w:szCs w:val="16"/>
                <w:lang w:eastAsia="en-GB"/>
              </w:rPr>
              <w:fldChar w:fldCharType="end"/>
            </w:r>
            <w:r w:rsidRPr="00B91524">
              <w:rPr>
                <w:rFonts w:cs="Arial"/>
                <w:b/>
                <w:bCs/>
                <w:sz w:val="16"/>
                <w:szCs w:val="16"/>
                <w:lang w:eastAsia="en-GB"/>
              </w:rPr>
              <w:t>.</w:t>
            </w:r>
          </w:p>
        </w:tc>
      </w:tr>
      <w:tr w:rsidR="00CC2967" w:rsidRPr="00B91524" w14:paraId="047F8A2F" w14:textId="77777777" w:rsidTr="00CC2967">
        <w:trPr>
          <w:trHeight w:val="1122"/>
        </w:trPr>
        <w:tc>
          <w:tcPr>
            <w:tcW w:w="1699" w:type="pct"/>
            <w:tcBorders>
              <w:top w:val="nil"/>
              <w:left w:val="single" w:sz="8" w:space="0" w:color="1D4477"/>
              <w:bottom w:val="single" w:sz="8" w:space="0" w:color="1D4477"/>
              <w:right w:val="single" w:sz="8" w:space="0" w:color="1D4477"/>
            </w:tcBorders>
            <w:shd w:val="clear" w:color="000000" w:fill="C4D7F0"/>
            <w:vAlign w:val="center"/>
            <w:hideMark/>
          </w:tcPr>
          <w:p w14:paraId="006D7D6A" w14:textId="591A9BB7" w:rsidR="00CC2967" w:rsidRPr="00B91524" w:rsidRDefault="00CC2967" w:rsidP="00C85CF3">
            <w:pPr>
              <w:spacing w:after="0"/>
              <w:rPr>
                <w:rFonts w:cs="Arial"/>
                <w:color w:val="000000"/>
                <w:sz w:val="16"/>
                <w:szCs w:val="16"/>
                <w:lang w:eastAsia="en-GB"/>
              </w:rPr>
            </w:pPr>
            <w:r w:rsidRPr="00B91524">
              <w:rPr>
                <w:rFonts w:cs="Arial"/>
                <w:b/>
                <w:bCs/>
                <w:color w:val="000000"/>
                <w:sz w:val="16"/>
                <w:szCs w:val="16"/>
                <w:lang w:eastAsia="en-GB"/>
              </w:rPr>
              <w:t>Biogenic / geogenic reef</w:t>
            </w:r>
            <w:r w:rsidR="008675EB" w:rsidRPr="00B91524">
              <w:rPr>
                <w:rFonts w:cs="Arial"/>
                <w:b/>
                <w:bCs/>
                <w:color w:val="000000"/>
                <w:sz w:val="16"/>
                <w:szCs w:val="16"/>
                <w:lang w:eastAsia="en-GB"/>
              </w:rPr>
              <w:t xml:space="preserve"> (Feature of Focus II)</w:t>
            </w:r>
            <w:r w:rsidRPr="00B91524">
              <w:rPr>
                <w:rFonts w:cs="Arial"/>
                <w:b/>
                <w:bCs/>
                <w:color w:val="000000"/>
                <w:sz w:val="16"/>
                <w:szCs w:val="16"/>
                <w:lang w:eastAsia="en-GB"/>
              </w:rPr>
              <w:t>:</w:t>
            </w:r>
            <w:r w:rsidRPr="00B91524">
              <w:rPr>
                <w:rFonts w:cs="Arial"/>
                <w:color w:val="000000"/>
                <w:sz w:val="16"/>
                <w:szCs w:val="16"/>
                <w:lang w:eastAsia="en-GB"/>
              </w:rPr>
              <w:br/>
            </w:r>
            <w:r w:rsidRPr="00B91524">
              <w:rPr>
                <w:rFonts w:cs="Arial"/>
                <w:color w:val="000000"/>
                <w:sz w:val="16"/>
                <w:szCs w:val="16"/>
                <w:lang w:eastAsia="en-GB"/>
              </w:rPr>
              <w:br/>
              <w:t xml:space="preserve">- Annex I </w:t>
            </w:r>
            <w:proofErr w:type="spellStart"/>
            <w:r w:rsidRPr="00B91524">
              <w:rPr>
                <w:rFonts w:cs="Arial"/>
                <w:i/>
                <w:iCs/>
                <w:color w:val="000000"/>
                <w:sz w:val="16"/>
                <w:szCs w:val="16"/>
                <w:lang w:eastAsia="en-GB"/>
              </w:rPr>
              <w:t>Sabellaria</w:t>
            </w:r>
            <w:proofErr w:type="spellEnd"/>
            <w:r w:rsidRPr="00B91524">
              <w:rPr>
                <w:rFonts w:cs="Arial"/>
                <w:i/>
                <w:iCs/>
                <w:color w:val="000000"/>
                <w:sz w:val="16"/>
                <w:szCs w:val="16"/>
                <w:lang w:eastAsia="en-GB"/>
              </w:rPr>
              <w:t xml:space="preserve"> spinulosa</w:t>
            </w:r>
            <w:r w:rsidRPr="00B91524">
              <w:rPr>
                <w:rFonts w:cs="Arial"/>
                <w:color w:val="000000"/>
                <w:sz w:val="16"/>
                <w:szCs w:val="16"/>
                <w:lang w:eastAsia="en-GB"/>
              </w:rPr>
              <w:t xml:space="preserve"> reef</w:t>
            </w:r>
            <w:r w:rsidRPr="00B91524">
              <w:rPr>
                <w:rFonts w:cs="Arial"/>
                <w:color w:val="000000"/>
                <w:sz w:val="16"/>
                <w:szCs w:val="16"/>
                <w:lang w:eastAsia="en-GB"/>
              </w:rPr>
              <w:br/>
              <w:t xml:space="preserve">- Annex I stony/cobble reef </w:t>
            </w:r>
          </w:p>
          <w:p w14:paraId="5BF85DCB" w14:textId="2D0A0748" w:rsidR="00CC2967" w:rsidRPr="00B91524" w:rsidRDefault="00CC2967" w:rsidP="00CC2967">
            <w:pPr>
              <w:spacing w:after="0"/>
              <w:rPr>
                <w:rFonts w:cs="Arial"/>
                <w:color w:val="000000"/>
                <w:sz w:val="16"/>
                <w:szCs w:val="16"/>
                <w:lang w:eastAsia="en-GB"/>
              </w:rPr>
            </w:pPr>
            <w:r w:rsidRPr="00B91524">
              <w:rPr>
                <w:rFonts w:cs="Arial"/>
                <w:color w:val="000000"/>
                <w:sz w:val="16"/>
                <w:szCs w:val="16"/>
                <w:lang w:eastAsia="en-GB"/>
              </w:rPr>
              <w:t>- Section 41 Peat and Clay Exposures</w:t>
            </w:r>
            <w:r w:rsidR="00A01BD7" w:rsidRPr="00B91524">
              <w:rPr>
                <w:rFonts w:cs="Arial"/>
                <w:color w:val="000000"/>
                <w:sz w:val="16"/>
                <w:szCs w:val="16"/>
                <w:lang w:eastAsia="en-GB"/>
              </w:rPr>
              <w:t>*</w:t>
            </w:r>
          </w:p>
        </w:tc>
        <w:tc>
          <w:tcPr>
            <w:tcW w:w="1411" w:type="pct"/>
            <w:vMerge/>
            <w:tcBorders>
              <w:left w:val="single" w:sz="8" w:space="0" w:color="1D4477"/>
              <w:right w:val="single" w:sz="8" w:space="0" w:color="1D4477"/>
            </w:tcBorders>
            <w:shd w:val="clear" w:color="000000" w:fill="C4D7F0"/>
            <w:vAlign w:val="center"/>
            <w:hideMark/>
          </w:tcPr>
          <w:p w14:paraId="62332E6E" w14:textId="77777777" w:rsidR="00CC2967" w:rsidRPr="00B91524" w:rsidRDefault="00CC2967" w:rsidP="00C85CF3">
            <w:pPr>
              <w:spacing w:after="0"/>
              <w:rPr>
                <w:rFonts w:cs="Arial"/>
                <w:color w:val="000000"/>
                <w:sz w:val="16"/>
                <w:szCs w:val="16"/>
                <w:lang w:eastAsia="en-GB"/>
              </w:rPr>
            </w:pPr>
          </w:p>
        </w:tc>
        <w:tc>
          <w:tcPr>
            <w:tcW w:w="1890" w:type="pct"/>
            <w:tcBorders>
              <w:top w:val="nil"/>
              <w:left w:val="nil"/>
              <w:bottom w:val="single" w:sz="8" w:space="0" w:color="1D4477"/>
              <w:right w:val="single" w:sz="8" w:space="0" w:color="1D4477"/>
            </w:tcBorders>
            <w:shd w:val="clear" w:color="000000" w:fill="C4D7F0"/>
            <w:vAlign w:val="center"/>
            <w:hideMark/>
          </w:tcPr>
          <w:p w14:paraId="60890B33" w14:textId="00E981A9" w:rsidR="00CC2967" w:rsidRPr="00B91524" w:rsidRDefault="00CC2967" w:rsidP="00C85CF3">
            <w:pPr>
              <w:spacing w:after="0"/>
              <w:rPr>
                <w:rFonts w:cs="Arial"/>
                <w:sz w:val="16"/>
                <w:szCs w:val="16"/>
                <w:lang w:eastAsia="en-GB"/>
              </w:rPr>
            </w:pPr>
            <w:r w:rsidRPr="00B91524">
              <w:rPr>
                <w:rFonts w:cs="Arial"/>
                <w:sz w:val="16"/>
                <w:szCs w:val="16"/>
                <w:lang w:eastAsia="en-GB"/>
              </w:rPr>
              <w:t xml:space="preserve">Surveys to determine the location and reasonable extent of any </w:t>
            </w:r>
            <w:proofErr w:type="spellStart"/>
            <w:r w:rsidRPr="00B91524">
              <w:rPr>
                <w:rFonts w:cs="Arial"/>
                <w:sz w:val="16"/>
                <w:szCs w:val="16"/>
                <w:lang w:eastAsia="en-GB"/>
              </w:rPr>
              <w:t>BHoCEEI</w:t>
            </w:r>
            <w:proofErr w:type="spellEnd"/>
            <w:r w:rsidRPr="00B91524">
              <w:rPr>
                <w:rFonts w:cs="Arial"/>
                <w:sz w:val="16"/>
                <w:szCs w:val="16"/>
                <w:lang w:eastAsia="en-GB"/>
              </w:rPr>
              <w:t xml:space="preserve"> in whole or in part inside the areas within the Order limits in which it is proposed to carry out construction works. The approach to surveying reef habitats is set out in </w:t>
            </w:r>
            <w:r w:rsidRPr="00B91524">
              <w:rPr>
                <w:rFonts w:cs="Arial"/>
                <w:b/>
                <w:bCs/>
                <w:sz w:val="16"/>
                <w:szCs w:val="16"/>
                <w:lang w:eastAsia="en-GB"/>
              </w:rPr>
              <w:t xml:space="preserve">Section </w:t>
            </w:r>
            <w:r w:rsidR="00F51211" w:rsidRPr="00B91524">
              <w:rPr>
                <w:rFonts w:cs="Arial"/>
                <w:b/>
                <w:bCs/>
                <w:sz w:val="16"/>
                <w:szCs w:val="16"/>
                <w:lang w:eastAsia="en-GB"/>
              </w:rPr>
              <w:fldChar w:fldCharType="begin"/>
            </w:r>
            <w:r w:rsidR="00F51211" w:rsidRPr="00B91524">
              <w:rPr>
                <w:rFonts w:cs="Arial"/>
                <w:b/>
                <w:bCs/>
                <w:sz w:val="16"/>
                <w:szCs w:val="16"/>
                <w:lang w:eastAsia="en-GB"/>
              </w:rPr>
              <w:instrText xml:space="preserve"> REF _Ref46089824 \r \h </w:instrText>
            </w:r>
            <w:r w:rsidR="00B91524">
              <w:rPr>
                <w:rFonts w:cs="Arial"/>
                <w:b/>
                <w:bCs/>
                <w:sz w:val="16"/>
                <w:szCs w:val="16"/>
                <w:lang w:eastAsia="en-GB"/>
              </w:rPr>
              <w:instrText xml:space="preserve"> \* MERGEFORMAT </w:instrText>
            </w:r>
            <w:r w:rsidR="00F51211" w:rsidRPr="00B91524">
              <w:rPr>
                <w:rFonts w:cs="Arial"/>
                <w:b/>
                <w:bCs/>
                <w:sz w:val="16"/>
                <w:szCs w:val="16"/>
                <w:lang w:eastAsia="en-GB"/>
              </w:rPr>
            </w:r>
            <w:r w:rsidR="00F51211" w:rsidRPr="00B91524">
              <w:rPr>
                <w:rFonts w:cs="Arial"/>
                <w:b/>
                <w:bCs/>
                <w:sz w:val="16"/>
                <w:szCs w:val="16"/>
                <w:lang w:eastAsia="en-GB"/>
              </w:rPr>
              <w:fldChar w:fldCharType="separate"/>
            </w:r>
            <w:r w:rsidR="00683595">
              <w:rPr>
                <w:rFonts w:cs="Arial"/>
                <w:b/>
                <w:bCs/>
                <w:sz w:val="16"/>
                <w:szCs w:val="16"/>
                <w:lang w:eastAsia="en-GB"/>
              </w:rPr>
              <w:t>4.3</w:t>
            </w:r>
            <w:r w:rsidR="00F51211" w:rsidRPr="00B91524">
              <w:rPr>
                <w:rFonts w:cs="Arial"/>
                <w:b/>
                <w:bCs/>
                <w:sz w:val="16"/>
                <w:szCs w:val="16"/>
                <w:lang w:eastAsia="en-GB"/>
              </w:rPr>
              <w:fldChar w:fldCharType="end"/>
            </w:r>
            <w:r w:rsidRPr="00B91524">
              <w:rPr>
                <w:rFonts w:cs="Arial"/>
                <w:b/>
                <w:bCs/>
                <w:sz w:val="16"/>
                <w:szCs w:val="16"/>
                <w:lang w:eastAsia="en-GB"/>
              </w:rPr>
              <w:t>.</w:t>
            </w:r>
          </w:p>
        </w:tc>
      </w:tr>
      <w:tr w:rsidR="00C85CF3" w:rsidRPr="00B91524" w14:paraId="05A71CFC" w14:textId="77777777" w:rsidTr="00C85CF3">
        <w:trPr>
          <w:trHeight w:val="413"/>
        </w:trPr>
        <w:tc>
          <w:tcPr>
            <w:tcW w:w="5000" w:type="pct"/>
            <w:gridSpan w:val="3"/>
            <w:tcBorders>
              <w:top w:val="single" w:sz="8" w:space="0" w:color="1D4477"/>
              <w:left w:val="single" w:sz="8" w:space="0" w:color="1D4477"/>
              <w:bottom w:val="single" w:sz="8" w:space="0" w:color="1D4477"/>
              <w:right w:val="single" w:sz="8" w:space="0" w:color="1D4477"/>
            </w:tcBorders>
            <w:shd w:val="clear" w:color="000000" w:fill="C4D7F0"/>
            <w:vAlign w:val="center"/>
            <w:hideMark/>
          </w:tcPr>
          <w:p w14:paraId="2BE4DAB5" w14:textId="70843E39" w:rsidR="00C85CF3" w:rsidRPr="00B91524" w:rsidRDefault="00C85CF3" w:rsidP="00C85CF3">
            <w:pPr>
              <w:spacing w:after="0"/>
              <w:rPr>
                <w:rFonts w:cs="Arial"/>
                <w:b/>
                <w:bCs/>
                <w:sz w:val="16"/>
                <w:szCs w:val="16"/>
                <w:lang w:eastAsia="en-GB"/>
              </w:rPr>
            </w:pPr>
            <w:r w:rsidRPr="00B91524">
              <w:rPr>
                <w:rFonts w:cs="Arial"/>
                <w:b/>
                <w:bCs/>
                <w:sz w:val="16"/>
                <w:szCs w:val="16"/>
                <w:lang w:eastAsia="en-GB"/>
              </w:rPr>
              <w:t>Other Targeted / Impact Specific Monitoring</w:t>
            </w:r>
          </w:p>
        </w:tc>
      </w:tr>
      <w:tr w:rsidR="00C85CF3" w:rsidRPr="00B91524" w14:paraId="091D5426" w14:textId="77777777" w:rsidTr="00C85CF3">
        <w:trPr>
          <w:trHeight w:val="820"/>
        </w:trPr>
        <w:tc>
          <w:tcPr>
            <w:tcW w:w="1699" w:type="pct"/>
            <w:tcBorders>
              <w:top w:val="nil"/>
              <w:left w:val="single" w:sz="8" w:space="0" w:color="1D4477"/>
              <w:bottom w:val="single" w:sz="8" w:space="0" w:color="1D4477"/>
              <w:right w:val="single" w:sz="8" w:space="0" w:color="1D4477"/>
            </w:tcBorders>
            <w:shd w:val="clear" w:color="000000" w:fill="C4D7F0"/>
            <w:vAlign w:val="center"/>
            <w:hideMark/>
          </w:tcPr>
          <w:p w14:paraId="4D1ACDC0" w14:textId="338C49BD" w:rsidR="00C85CF3" w:rsidRPr="00B91524" w:rsidRDefault="00C85CF3" w:rsidP="00C85CF3">
            <w:pPr>
              <w:spacing w:after="0"/>
              <w:rPr>
                <w:rFonts w:cs="Arial"/>
                <w:color w:val="000000"/>
                <w:sz w:val="16"/>
                <w:szCs w:val="16"/>
                <w:lang w:eastAsia="en-GB"/>
              </w:rPr>
            </w:pPr>
            <w:r w:rsidRPr="00B91524">
              <w:rPr>
                <w:rFonts w:cs="Arial"/>
                <w:color w:val="000000"/>
                <w:sz w:val="16"/>
                <w:szCs w:val="16"/>
                <w:lang w:eastAsia="en-GB"/>
              </w:rPr>
              <w:t>Invasive non-native species (INNS)</w:t>
            </w:r>
            <w:r w:rsidR="00B035CF" w:rsidRPr="00B91524">
              <w:rPr>
                <w:rFonts w:cs="Arial"/>
                <w:color w:val="000000"/>
                <w:sz w:val="16"/>
                <w:szCs w:val="16"/>
                <w:lang w:eastAsia="en-GB"/>
              </w:rPr>
              <w:t xml:space="preserve"> (Feature of Focus I</w:t>
            </w:r>
            <w:r w:rsidR="00453BF4" w:rsidRPr="00B91524">
              <w:rPr>
                <w:rFonts w:cs="Arial"/>
                <w:color w:val="000000"/>
                <w:sz w:val="16"/>
                <w:szCs w:val="16"/>
                <w:lang w:eastAsia="en-GB"/>
              </w:rPr>
              <w:t>II</w:t>
            </w:r>
            <w:r w:rsidR="00B035CF" w:rsidRPr="00B91524">
              <w:rPr>
                <w:rFonts w:cs="Arial"/>
                <w:color w:val="000000"/>
                <w:sz w:val="16"/>
                <w:szCs w:val="16"/>
                <w:lang w:eastAsia="en-GB"/>
              </w:rPr>
              <w:t>)</w:t>
            </w:r>
          </w:p>
        </w:tc>
        <w:tc>
          <w:tcPr>
            <w:tcW w:w="1411" w:type="pct"/>
            <w:tcBorders>
              <w:top w:val="nil"/>
              <w:left w:val="nil"/>
              <w:bottom w:val="single" w:sz="8" w:space="0" w:color="1D4477"/>
              <w:right w:val="single" w:sz="8" w:space="0" w:color="1D4477"/>
            </w:tcBorders>
            <w:shd w:val="clear" w:color="000000" w:fill="C4D7F0"/>
            <w:vAlign w:val="center"/>
            <w:hideMark/>
          </w:tcPr>
          <w:p w14:paraId="6581B711" w14:textId="77777777" w:rsidR="00C85CF3" w:rsidRPr="00B91524" w:rsidRDefault="00C85CF3" w:rsidP="00C85CF3">
            <w:pPr>
              <w:spacing w:after="0"/>
              <w:rPr>
                <w:rFonts w:cs="Arial"/>
                <w:color w:val="000000"/>
                <w:sz w:val="16"/>
                <w:szCs w:val="16"/>
                <w:lang w:eastAsia="en-GB"/>
              </w:rPr>
            </w:pPr>
            <w:r w:rsidRPr="00B91524">
              <w:rPr>
                <w:rFonts w:cs="Arial"/>
                <w:color w:val="000000"/>
                <w:sz w:val="16"/>
                <w:szCs w:val="16"/>
                <w:lang w:eastAsia="en-GB"/>
              </w:rPr>
              <w:t>▪ IPMP Section 4.</w:t>
            </w:r>
            <w:r w:rsidR="00195C6C" w:rsidRPr="00B91524">
              <w:rPr>
                <w:rFonts w:cs="Arial"/>
                <w:color w:val="000000"/>
                <w:sz w:val="16"/>
                <w:szCs w:val="16"/>
                <w:lang w:eastAsia="en-GB"/>
              </w:rPr>
              <w:t>5</w:t>
            </w:r>
            <w:r w:rsidRPr="00B91524">
              <w:rPr>
                <w:rFonts w:cs="Arial"/>
                <w:color w:val="000000"/>
                <w:sz w:val="16"/>
                <w:szCs w:val="16"/>
                <w:lang w:eastAsia="en-GB"/>
              </w:rPr>
              <w:t xml:space="preserve"> marine (benthic) ecology</w:t>
            </w:r>
          </w:p>
          <w:p w14:paraId="3B552A40" w14:textId="77777777" w:rsidR="008E0ADA" w:rsidRPr="00B91524" w:rsidRDefault="008E0ADA" w:rsidP="00C85CF3">
            <w:pPr>
              <w:spacing w:after="0"/>
              <w:rPr>
                <w:rFonts w:cs="Arial"/>
                <w:color w:val="000000"/>
                <w:sz w:val="16"/>
                <w:szCs w:val="16"/>
                <w:lang w:eastAsia="en-GB"/>
              </w:rPr>
            </w:pPr>
          </w:p>
          <w:p w14:paraId="275802BD" w14:textId="3A8B142B" w:rsidR="008E0ADA" w:rsidRPr="00B91524" w:rsidRDefault="008E0ADA" w:rsidP="008E0ADA">
            <w:pPr>
              <w:spacing w:after="0"/>
              <w:rPr>
                <w:rFonts w:cs="Arial"/>
                <w:color w:val="000000"/>
                <w:sz w:val="16"/>
                <w:szCs w:val="16"/>
                <w:lang w:eastAsia="en-GB"/>
              </w:rPr>
            </w:pPr>
            <w:r w:rsidRPr="00B91524">
              <w:rPr>
                <w:rFonts w:cs="Arial"/>
                <w:color w:val="000000"/>
                <w:sz w:val="16"/>
                <w:szCs w:val="16"/>
                <w:lang w:eastAsia="en-GB"/>
              </w:rPr>
              <w:t>▪ Dogger Bank SAC Monitoring Objective 3</w:t>
            </w:r>
          </w:p>
          <w:p w14:paraId="18540C74" w14:textId="3C58F253" w:rsidR="008E0ADA" w:rsidRPr="00B91524" w:rsidRDefault="008E0ADA" w:rsidP="00C85CF3">
            <w:pPr>
              <w:spacing w:after="0"/>
              <w:rPr>
                <w:rFonts w:cs="Arial"/>
                <w:color w:val="000000"/>
                <w:sz w:val="16"/>
                <w:szCs w:val="16"/>
                <w:lang w:eastAsia="en-GB"/>
              </w:rPr>
            </w:pPr>
          </w:p>
        </w:tc>
        <w:tc>
          <w:tcPr>
            <w:tcW w:w="1890" w:type="pct"/>
            <w:tcBorders>
              <w:top w:val="nil"/>
              <w:left w:val="nil"/>
              <w:bottom w:val="single" w:sz="8" w:space="0" w:color="1D4477"/>
              <w:right w:val="single" w:sz="8" w:space="0" w:color="1D4477"/>
            </w:tcBorders>
            <w:shd w:val="clear" w:color="000000" w:fill="C4D7F0"/>
            <w:vAlign w:val="center"/>
            <w:hideMark/>
          </w:tcPr>
          <w:p w14:paraId="6B6E7F7A" w14:textId="758749ED" w:rsidR="00C85CF3" w:rsidRPr="00B91524" w:rsidRDefault="00C85CF3" w:rsidP="00C85CF3">
            <w:pPr>
              <w:spacing w:after="0"/>
              <w:rPr>
                <w:rFonts w:cs="Arial"/>
                <w:sz w:val="16"/>
                <w:szCs w:val="16"/>
                <w:lang w:eastAsia="en-GB"/>
              </w:rPr>
            </w:pPr>
            <w:r w:rsidRPr="00B91524">
              <w:rPr>
                <w:rFonts w:cs="Arial"/>
                <w:sz w:val="16"/>
                <w:szCs w:val="16"/>
                <w:lang w:eastAsia="en-GB"/>
              </w:rPr>
              <w:t xml:space="preserve">Appropriate consideration shall be given to monitoring the presence of any INNS and wider community type/structure, to identify changes that may affect site integrity, a summary of which is </w:t>
            </w:r>
            <w:r w:rsidR="00437B30" w:rsidRPr="00B91524">
              <w:rPr>
                <w:rFonts w:cs="Arial"/>
                <w:sz w:val="16"/>
                <w:szCs w:val="16"/>
                <w:lang w:eastAsia="en-GB"/>
              </w:rPr>
              <w:t>set out</w:t>
            </w:r>
            <w:r w:rsidRPr="00B91524">
              <w:rPr>
                <w:rFonts w:cs="Arial"/>
                <w:sz w:val="16"/>
                <w:szCs w:val="16"/>
                <w:lang w:eastAsia="en-GB"/>
              </w:rPr>
              <w:t xml:space="preserve"> in </w:t>
            </w:r>
            <w:r w:rsidRPr="00B91524">
              <w:rPr>
                <w:rFonts w:cs="Arial"/>
                <w:b/>
                <w:bCs/>
                <w:sz w:val="16"/>
                <w:szCs w:val="16"/>
                <w:lang w:eastAsia="en-GB"/>
              </w:rPr>
              <w:t xml:space="preserve">Section </w:t>
            </w:r>
            <w:r w:rsidR="00F51211" w:rsidRPr="00B91524">
              <w:rPr>
                <w:rFonts w:cs="Arial"/>
                <w:b/>
                <w:bCs/>
                <w:sz w:val="16"/>
                <w:szCs w:val="16"/>
                <w:lang w:eastAsia="en-GB"/>
              </w:rPr>
              <w:fldChar w:fldCharType="begin"/>
            </w:r>
            <w:r w:rsidR="00F51211" w:rsidRPr="00B91524">
              <w:rPr>
                <w:rFonts w:cs="Arial"/>
                <w:b/>
                <w:bCs/>
                <w:sz w:val="16"/>
                <w:szCs w:val="16"/>
                <w:lang w:eastAsia="en-GB"/>
              </w:rPr>
              <w:instrText xml:space="preserve"> REF _Ref48642887 \r \h </w:instrText>
            </w:r>
            <w:r w:rsidR="00B91524">
              <w:rPr>
                <w:rFonts w:cs="Arial"/>
                <w:b/>
                <w:bCs/>
                <w:sz w:val="16"/>
                <w:szCs w:val="16"/>
                <w:lang w:eastAsia="en-GB"/>
              </w:rPr>
              <w:instrText xml:space="preserve"> \* MERGEFORMAT </w:instrText>
            </w:r>
            <w:r w:rsidR="00F51211" w:rsidRPr="00B91524">
              <w:rPr>
                <w:rFonts w:cs="Arial"/>
                <w:b/>
                <w:bCs/>
                <w:sz w:val="16"/>
                <w:szCs w:val="16"/>
                <w:lang w:eastAsia="en-GB"/>
              </w:rPr>
            </w:r>
            <w:r w:rsidR="00F51211" w:rsidRPr="00B91524">
              <w:rPr>
                <w:rFonts w:cs="Arial"/>
                <w:b/>
                <w:bCs/>
                <w:sz w:val="16"/>
                <w:szCs w:val="16"/>
                <w:lang w:eastAsia="en-GB"/>
              </w:rPr>
              <w:fldChar w:fldCharType="separate"/>
            </w:r>
            <w:r w:rsidR="00683595">
              <w:rPr>
                <w:rFonts w:cs="Arial"/>
                <w:b/>
                <w:bCs/>
                <w:sz w:val="16"/>
                <w:szCs w:val="16"/>
                <w:lang w:eastAsia="en-GB"/>
              </w:rPr>
              <w:t>4.4</w:t>
            </w:r>
            <w:r w:rsidR="00F51211" w:rsidRPr="00B91524">
              <w:rPr>
                <w:rFonts w:cs="Arial"/>
                <w:b/>
                <w:bCs/>
                <w:sz w:val="16"/>
                <w:szCs w:val="16"/>
                <w:lang w:eastAsia="en-GB"/>
              </w:rPr>
              <w:fldChar w:fldCharType="end"/>
            </w:r>
            <w:r w:rsidRPr="00B91524">
              <w:rPr>
                <w:rFonts w:cs="Arial"/>
                <w:sz w:val="16"/>
                <w:szCs w:val="16"/>
                <w:lang w:eastAsia="en-GB"/>
              </w:rPr>
              <w:t>.</w:t>
            </w:r>
          </w:p>
        </w:tc>
      </w:tr>
      <w:tr w:rsidR="00453BF4" w:rsidRPr="00B91524" w14:paraId="3C501679" w14:textId="77777777" w:rsidTr="00C85CF3">
        <w:trPr>
          <w:trHeight w:val="820"/>
        </w:trPr>
        <w:tc>
          <w:tcPr>
            <w:tcW w:w="1699" w:type="pct"/>
            <w:tcBorders>
              <w:top w:val="nil"/>
              <w:left w:val="single" w:sz="8" w:space="0" w:color="1D4477"/>
              <w:bottom w:val="single" w:sz="8" w:space="0" w:color="1D4477"/>
              <w:right w:val="single" w:sz="8" w:space="0" w:color="1D4477"/>
            </w:tcBorders>
            <w:shd w:val="clear" w:color="000000" w:fill="C4D7F0"/>
            <w:vAlign w:val="center"/>
          </w:tcPr>
          <w:p w14:paraId="555CB0A7" w14:textId="29C9B44D" w:rsidR="00453BF4" w:rsidRPr="00B91524" w:rsidRDefault="00453BF4" w:rsidP="00453BF4">
            <w:pPr>
              <w:spacing w:after="0"/>
              <w:rPr>
                <w:rFonts w:cs="Arial"/>
                <w:color w:val="000000"/>
                <w:sz w:val="16"/>
                <w:szCs w:val="16"/>
                <w:lang w:eastAsia="en-GB"/>
              </w:rPr>
            </w:pPr>
            <w:r w:rsidRPr="00B91524">
              <w:rPr>
                <w:rFonts w:cs="Arial"/>
                <w:color w:val="000000"/>
                <w:sz w:val="16"/>
                <w:szCs w:val="16"/>
                <w:lang w:eastAsia="en-GB"/>
              </w:rPr>
              <w:t xml:space="preserve">Drill disposal mounds </w:t>
            </w:r>
          </w:p>
        </w:tc>
        <w:tc>
          <w:tcPr>
            <w:tcW w:w="1411" w:type="pct"/>
            <w:tcBorders>
              <w:top w:val="nil"/>
              <w:left w:val="nil"/>
              <w:bottom w:val="single" w:sz="8" w:space="0" w:color="1D4477"/>
              <w:right w:val="single" w:sz="8" w:space="0" w:color="1D4477"/>
            </w:tcBorders>
            <w:shd w:val="clear" w:color="000000" w:fill="C4D7F0"/>
            <w:vAlign w:val="center"/>
          </w:tcPr>
          <w:p w14:paraId="1E930872" w14:textId="77777777" w:rsidR="00453BF4" w:rsidRPr="00B91524" w:rsidRDefault="00453BF4" w:rsidP="00453BF4">
            <w:pPr>
              <w:spacing w:after="0"/>
              <w:rPr>
                <w:rFonts w:cs="Arial"/>
                <w:color w:val="000000"/>
                <w:sz w:val="16"/>
                <w:szCs w:val="16"/>
                <w:lang w:eastAsia="en-GB"/>
              </w:rPr>
            </w:pPr>
            <w:r w:rsidRPr="00B91524">
              <w:rPr>
                <w:rFonts w:cs="Arial"/>
                <w:color w:val="000000"/>
                <w:sz w:val="16"/>
                <w:szCs w:val="16"/>
                <w:lang w:eastAsia="en-GB"/>
              </w:rPr>
              <w:t xml:space="preserve">▪ Conditions 23(2)(e) of </w:t>
            </w:r>
            <w:proofErr w:type="spellStart"/>
            <w:r w:rsidRPr="00B91524">
              <w:rPr>
                <w:rFonts w:cs="Arial"/>
                <w:color w:val="000000"/>
                <w:sz w:val="16"/>
                <w:szCs w:val="16"/>
                <w:lang w:eastAsia="en-GB"/>
              </w:rPr>
              <w:t>dML</w:t>
            </w:r>
            <w:proofErr w:type="spellEnd"/>
            <w:r w:rsidRPr="00B91524">
              <w:rPr>
                <w:rFonts w:cs="Arial"/>
                <w:color w:val="000000"/>
                <w:sz w:val="16"/>
                <w:szCs w:val="16"/>
                <w:lang w:eastAsia="en-GB"/>
              </w:rPr>
              <w:t xml:space="preserve"> 2, Schedule 9 (Offshore Generation) (Variation No. 2, April 2019)</w:t>
            </w:r>
            <w:r w:rsidRPr="00B91524">
              <w:rPr>
                <w:rFonts w:cs="Arial"/>
                <w:color w:val="000000"/>
                <w:sz w:val="16"/>
                <w:szCs w:val="16"/>
                <w:lang w:eastAsia="en-GB"/>
              </w:rPr>
              <w:br/>
            </w:r>
            <w:r w:rsidRPr="00B91524">
              <w:rPr>
                <w:rFonts w:cs="Arial"/>
                <w:color w:val="000000"/>
                <w:sz w:val="16"/>
                <w:szCs w:val="16"/>
                <w:lang w:eastAsia="en-GB"/>
              </w:rPr>
              <w:br/>
              <w:t>▪ IPMP Section 4.5 marine (benthic) ecology</w:t>
            </w:r>
          </w:p>
          <w:p w14:paraId="6BB89692" w14:textId="77777777" w:rsidR="008E0ADA" w:rsidRPr="00B91524" w:rsidRDefault="008E0ADA" w:rsidP="00453BF4">
            <w:pPr>
              <w:spacing w:after="0"/>
              <w:rPr>
                <w:rFonts w:cs="Arial"/>
                <w:color w:val="000000"/>
                <w:sz w:val="16"/>
                <w:szCs w:val="16"/>
                <w:lang w:eastAsia="en-GB"/>
              </w:rPr>
            </w:pPr>
          </w:p>
          <w:p w14:paraId="5FF1E6C2" w14:textId="7DC676F4" w:rsidR="008E0ADA" w:rsidRPr="00B91524" w:rsidRDefault="008E0ADA" w:rsidP="00453BF4">
            <w:pPr>
              <w:spacing w:after="0"/>
              <w:rPr>
                <w:rFonts w:cs="Arial"/>
                <w:color w:val="000000"/>
                <w:sz w:val="16"/>
                <w:szCs w:val="16"/>
                <w:lang w:eastAsia="en-GB"/>
              </w:rPr>
            </w:pPr>
            <w:r w:rsidRPr="00B91524">
              <w:rPr>
                <w:rFonts w:cs="Arial"/>
                <w:color w:val="000000"/>
                <w:sz w:val="16"/>
                <w:szCs w:val="16"/>
                <w:lang w:eastAsia="en-GB"/>
              </w:rPr>
              <w:t>▪ Dogger Bank SAC Monitoring Objective 1, 3 &amp; 4</w:t>
            </w:r>
          </w:p>
        </w:tc>
        <w:tc>
          <w:tcPr>
            <w:tcW w:w="1890" w:type="pct"/>
            <w:tcBorders>
              <w:top w:val="nil"/>
              <w:left w:val="nil"/>
              <w:bottom w:val="single" w:sz="8" w:space="0" w:color="1D4477"/>
              <w:right w:val="single" w:sz="8" w:space="0" w:color="1D4477"/>
            </w:tcBorders>
            <w:shd w:val="clear" w:color="000000" w:fill="C4D7F0"/>
            <w:vAlign w:val="center"/>
          </w:tcPr>
          <w:p w14:paraId="6E4DFF08" w14:textId="77777777" w:rsidR="00453BF4" w:rsidRPr="00B91524" w:rsidRDefault="00453BF4" w:rsidP="00453BF4">
            <w:pPr>
              <w:spacing w:after="0"/>
              <w:rPr>
                <w:rFonts w:cs="Arial"/>
                <w:color w:val="000000"/>
                <w:sz w:val="16"/>
                <w:szCs w:val="16"/>
                <w:lang w:eastAsia="en-GB"/>
              </w:rPr>
            </w:pPr>
            <w:r w:rsidRPr="00B91524">
              <w:rPr>
                <w:rFonts w:cs="Arial"/>
                <w:color w:val="000000"/>
                <w:sz w:val="16"/>
                <w:szCs w:val="16"/>
                <w:lang w:eastAsia="en-GB"/>
              </w:rPr>
              <w:t xml:space="preserve">Appropriate surveys to determine change in size and form of the drill disposal mounds (mud or clay arisings) over the lifetime of the authorised scheme, if drilling has been used for the installation of any foundations. Although the scope and timings for this is to be agreed post consent, and is only required if drilling is used to install foundations.  </w:t>
            </w:r>
          </w:p>
          <w:p w14:paraId="5E2E967D" w14:textId="2E99ADD5" w:rsidR="00453BF4" w:rsidRPr="00B91524" w:rsidRDefault="00453BF4" w:rsidP="00453BF4">
            <w:pPr>
              <w:spacing w:after="0"/>
              <w:rPr>
                <w:rFonts w:cs="Arial"/>
                <w:color w:val="000000"/>
                <w:sz w:val="16"/>
                <w:szCs w:val="16"/>
                <w:lang w:eastAsia="en-GB"/>
              </w:rPr>
            </w:pPr>
            <w:r w:rsidRPr="00B91524">
              <w:rPr>
                <w:rFonts w:cs="Arial"/>
                <w:color w:val="000000"/>
                <w:sz w:val="16"/>
                <w:szCs w:val="16"/>
                <w:lang w:eastAsia="en-GB"/>
              </w:rPr>
              <w:t>Discharge of this Requirement has been approved through the SOWF Geophysical (Bathymetrical) Monitoring Plan (2019)</w:t>
            </w:r>
            <w:r w:rsidR="006A328E" w:rsidRPr="00B91524">
              <w:rPr>
                <w:rFonts w:cs="Arial"/>
                <w:color w:val="000000"/>
                <w:sz w:val="16"/>
                <w:szCs w:val="16"/>
                <w:lang w:eastAsia="en-GB"/>
              </w:rPr>
              <w:t xml:space="preserve"> and is therefore not discussed further in this document.</w:t>
            </w:r>
          </w:p>
        </w:tc>
      </w:tr>
    </w:tbl>
    <w:p w14:paraId="53E9592A" w14:textId="3FE8903F" w:rsidR="00C85CF3" w:rsidRPr="00B91524" w:rsidRDefault="00C85CF3" w:rsidP="00C85CF3">
      <w:pPr>
        <w:sectPr w:rsidR="00C85CF3" w:rsidRPr="00B91524" w:rsidSect="00C85CF3">
          <w:headerReference w:type="default" r:id="rId16"/>
          <w:pgSz w:w="16848" w:h="11916" w:orient="landscape"/>
          <w:pgMar w:top="1080" w:right="1440" w:bottom="1080" w:left="1440" w:header="850" w:footer="708" w:gutter="0"/>
          <w:cols w:space="720"/>
          <w:docGrid w:linePitch="360"/>
        </w:sectPr>
      </w:pPr>
    </w:p>
    <w:p w14:paraId="128A4917" w14:textId="3B4CD8DC" w:rsidR="00C069CB" w:rsidRPr="00B91524" w:rsidRDefault="00C069CB" w:rsidP="00E021A6">
      <w:pPr>
        <w:pStyle w:val="Heading2"/>
        <w:ind w:hanging="856"/>
      </w:pPr>
      <w:bookmarkStart w:id="17" w:name="_Toc41050557"/>
      <w:bookmarkStart w:id="18" w:name="_Ref46089230"/>
      <w:bookmarkStart w:id="19" w:name="_Ref46089652"/>
      <w:bookmarkStart w:id="20" w:name="_Toc74670314"/>
      <w:r w:rsidRPr="00B91524">
        <w:lastRenderedPageBreak/>
        <w:t>in Principle Monitoring Plan</w:t>
      </w:r>
      <w:bookmarkEnd w:id="17"/>
      <w:bookmarkEnd w:id="18"/>
      <w:bookmarkEnd w:id="19"/>
      <w:r w:rsidR="00195C6C" w:rsidRPr="00B91524">
        <w:t xml:space="preserve"> and guiding principles</w:t>
      </w:r>
      <w:bookmarkEnd w:id="20"/>
    </w:p>
    <w:p w14:paraId="45E22FF5" w14:textId="7D009046" w:rsidR="00F8491A" w:rsidRPr="00B91524" w:rsidRDefault="00C069CB" w:rsidP="00E021A6">
      <w:pPr>
        <w:pStyle w:val="Reportbodytextnumbering"/>
      </w:pPr>
      <w:r w:rsidRPr="00B91524">
        <w:t xml:space="preserve">As set out in the </w:t>
      </w:r>
      <w:proofErr w:type="spellStart"/>
      <w:r w:rsidRPr="00B91524">
        <w:t>dML</w:t>
      </w:r>
      <w:proofErr w:type="spellEnd"/>
      <w:r w:rsidRPr="00B91524">
        <w:t xml:space="preserve"> </w:t>
      </w:r>
      <w:r w:rsidR="00F8491A" w:rsidRPr="00B91524">
        <w:t>c</w:t>
      </w:r>
      <w:r w:rsidRPr="00B91524">
        <w:t xml:space="preserve">onditions, any monitoring for the SOWF project must be </w:t>
      </w:r>
      <w:r w:rsidR="00537E9D" w:rsidRPr="00B91524">
        <w:t xml:space="preserve">undertaken </w:t>
      </w:r>
      <w:r w:rsidRPr="00B91524">
        <w:t>in accordance with the Dogger Bank Teesside A and B Deadline IX Appendix 4 Offshore In Principle Monitoring Plan (“IPMP”) (</w:t>
      </w:r>
      <w:proofErr w:type="spellStart"/>
      <w:r w:rsidRPr="00B91524">
        <w:t>Forewind</w:t>
      </w:r>
      <w:proofErr w:type="spellEnd"/>
      <w:r w:rsidRPr="00B91524">
        <w:t xml:space="preserve">, 2015). Appendix </w:t>
      </w:r>
      <w:r w:rsidR="000502CC" w:rsidRPr="00B91524">
        <w:t>C</w:t>
      </w:r>
      <w:r w:rsidRPr="00B91524">
        <w:t xml:space="preserve"> presents the text and monitoring proposed for </w:t>
      </w:r>
      <w:r w:rsidR="00B56574" w:rsidRPr="00B91524">
        <w:t>benthic ecology</w:t>
      </w:r>
      <w:r w:rsidRPr="00B91524">
        <w:t xml:space="preserve"> as detailed in </w:t>
      </w:r>
      <w:r w:rsidR="00B56574" w:rsidRPr="00B91524">
        <w:t xml:space="preserve">Section </w:t>
      </w:r>
      <w:r w:rsidRPr="00B91524">
        <w:t>4.</w:t>
      </w:r>
      <w:r w:rsidR="00B56574" w:rsidRPr="00B91524">
        <w:t>5</w:t>
      </w:r>
      <w:r w:rsidRPr="00B91524">
        <w:t xml:space="preserve"> of the IPMP. </w:t>
      </w:r>
      <w:r w:rsidR="00C91E99" w:rsidRPr="00B91524">
        <w:t xml:space="preserve"> </w:t>
      </w:r>
      <w:r w:rsidRPr="00B91524">
        <w:t xml:space="preserve">Appendix </w:t>
      </w:r>
      <w:r w:rsidR="000502CC" w:rsidRPr="00B91524">
        <w:t>C</w:t>
      </w:r>
      <w:r w:rsidRPr="00B91524">
        <w:t xml:space="preserve"> also provides the rationale for </w:t>
      </w:r>
      <w:r w:rsidR="00372278" w:rsidRPr="00B91524">
        <w:t xml:space="preserve">the </w:t>
      </w:r>
      <w:r w:rsidRPr="00B91524">
        <w:t xml:space="preserve">monitoring proposed within this </w:t>
      </w:r>
      <w:r w:rsidR="00D32497" w:rsidRPr="00B91524">
        <w:t>document</w:t>
      </w:r>
      <w:r w:rsidRPr="00B91524">
        <w:t xml:space="preserve"> </w:t>
      </w:r>
      <w:r w:rsidR="00F8491A" w:rsidRPr="00B91524">
        <w:t>against each of the considerations set out in the IPMP with regards to benthic ecology</w:t>
      </w:r>
      <w:r w:rsidR="008E7805" w:rsidRPr="00B91524">
        <w:t xml:space="preserve">. The IPMP confirms that the pre-construction surveys should focus on Annex I habitats that may be affected by construction, with appropriate consideration being given to monitoring the presence of any INNS and wider community type/structure, to identify changes that may affect </w:t>
      </w:r>
      <w:r w:rsidR="00D32497" w:rsidRPr="00B91524">
        <w:t xml:space="preserve">the </w:t>
      </w:r>
      <w:r w:rsidR="008E7805" w:rsidRPr="00B91524">
        <w:t>integrity</w:t>
      </w:r>
      <w:r w:rsidR="00D32497" w:rsidRPr="00B91524">
        <w:t xml:space="preserve"> of the Dogger Banks SAC</w:t>
      </w:r>
      <w:r w:rsidR="008E7805" w:rsidRPr="00B91524">
        <w:t xml:space="preserve">. </w:t>
      </w:r>
    </w:p>
    <w:p w14:paraId="015C9CB7" w14:textId="2897C7D4" w:rsidR="00F8491A" w:rsidRPr="00B91524" w:rsidRDefault="00EE5D9E" w:rsidP="00E021A6">
      <w:pPr>
        <w:pStyle w:val="Reportbodytextnumbering"/>
      </w:pPr>
      <w:r w:rsidRPr="00B91524">
        <w:t>The following</w:t>
      </w:r>
      <w:r w:rsidR="008E7805" w:rsidRPr="00B91524">
        <w:t xml:space="preserve"> general guiding principles</w:t>
      </w:r>
      <w:r w:rsidRPr="00B91524">
        <w:t xml:space="preserve"> have also been used to define the scope of the monitoring proposals set out in this </w:t>
      </w:r>
      <w:r w:rsidR="00D32497" w:rsidRPr="00B91524">
        <w:t>BMP</w:t>
      </w:r>
      <w:r w:rsidR="008E7805" w:rsidRPr="00B91524">
        <w:t>:</w:t>
      </w:r>
    </w:p>
    <w:p w14:paraId="402D7F9A" w14:textId="6733BDCE" w:rsidR="00F8491A" w:rsidRPr="00B91524" w:rsidRDefault="008E7805" w:rsidP="0026251B">
      <w:pPr>
        <w:pStyle w:val="Bullet"/>
        <w:jc w:val="both"/>
        <w:rPr>
          <w:rFonts w:eastAsia="Calibri"/>
          <w:noProof/>
          <w:lang w:eastAsia="en-GB"/>
        </w:rPr>
      </w:pPr>
      <w:r w:rsidRPr="00B91524">
        <w:rPr>
          <w:rFonts w:eastAsia="Calibri"/>
          <w:noProof/>
          <w:lang w:eastAsia="en-GB"/>
        </w:rPr>
        <w:t>The proposed surveys will be “…necessary, relevant to planning, relevant to the permitted development, enforceable, precise and reasonable in all other respects” as set out in Paragraph 206 of the National Planning Policy Framework</w:t>
      </w:r>
      <w:r w:rsidR="00D058D6" w:rsidRPr="00B91524">
        <w:rPr>
          <w:rFonts w:eastAsia="Calibri"/>
          <w:noProof/>
          <w:lang w:eastAsia="en-GB"/>
        </w:rPr>
        <w:t xml:space="preserve"> and referred to as the ‘six tests’ (Department for Communities and Local Government 2014).</w:t>
      </w:r>
    </w:p>
    <w:p w14:paraId="1E6CC8D1" w14:textId="77C4A899" w:rsidR="008E7805" w:rsidRPr="00B91524" w:rsidRDefault="008E7805" w:rsidP="00E021A6">
      <w:pPr>
        <w:pStyle w:val="Bullet"/>
        <w:jc w:val="both"/>
        <w:rPr>
          <w:rFonts w:eastAsia="Calibri"/>
          <w:noProof/>
          <w:lang w:eastAsia="en-GB"/>
        </w:rPr>
      </w:pPr>
      <w:r w:rsidRPr="00B91524">
        <w:rPr>
          <w:rFonts w:eastAsia="Calibri"/>
          <w:noProof/>
          <w:lang w:eastAsia="en-GB"/>
        </w:rPr>
        <w:t>In line with good practice, having a clear purpose to provide answers to specific questions where significant environmental impacts have been identified, with an identified end date and confirmed outputs that provide statistically robust data sets;</w:t>
      </w:r>
    </w:p>
    <w:p w14:paraId="7AE4901E" w14:textId="650F8B2B" w:rsidR="008E7805" w:rsidRPr="00B91524" w:rsidRDefault="008E7805" w:rsidP="00E021A6">
      <w:pPr>
        <w:pStyle w:val="Bullet"/>
        <w:jc w:val="both"/>
        <w:rPr>
          <w:rFonts w:eastAsia="Calibri"/>
          <w:noProof/>
          <w:lang w:eastAsia="en-GB"/>
        </w:rPr>
      </w:pPr>
      <w:r w:rsidRPr="00B91524">
        <w:rPr>
          <w:rFonts w:eastAsia="Calibri"/>
          <w:noProof/>
          <w:lang w:eastAsia="en-GB"/>
        </w:rPr>
        <w:t>Targeted to address significant evidence gaps or uncertainty, which are relevant to the project and can be realistically filled, as well as those species or features considered to be the most sensitive to the project impacts including those of conservation, ecological and/or economic importance;</w:t>
      </w:r>
    </w:p>
    <w:p w14:paraId="205AD57A" w14:textId="20ABBDBD" w:rsidR="008E7805" w:rsidRPr="00B91524" w:rsidRDefault="008E7805" w:rsidP="00E021A6">
      <w:pPr>
        <w:pStyle w:val="Bullet"/>
        <w:jc w:val="both"/>
        <w:rPr>
          <w:rFonts w:eastAsia="Calibri"/>
          <w:noProof/>
          <w:lang w:eastAsia="en-GB"/>
        </w:rPr>
      </w:pPr>
      <w:r w:rsidRPr="00B91524">
        <w:rPr>
          <w:rFonts w:eastAsia="Calibri"/>
          <w:noProof/>
          <w:lang w:eastAsia="en-GB"/>
        </w:rPr>
        <w:t>Based, where relevant, on the best practice and outcomes of the latest review of environmental data associated with post-consent monitoring of licence conditions of offshore wind farms (MMO 2014</w:t>
      </w:r>
      <w:r w:rsidR="00E021A6" w:rsidRPr="00B91524">
        <w:rPr>
          <w:rFonts w:eastAsia="Calibri"/>
          <w:noProof/>
          <w:lang w:eastAsia="en-GB"/>
        </w:rPr>
        <w:t>a</w:t>
      </w:r>
      <w:r w:rsidRPr="00B91524">
        <w:rPr>
          <w:rFonts w:eastAsia="Calibri"/>
          <w:noProof/>
          <w:lang w:eastAsia="en-GB"/>
        </w:rPr>
        <w:t>); and</w:t>
      </w:r>
    </w:p>
    <w:p w14:paraId="4E96291A" w14:textId="30B5295C" w:rsidR="00C069CB" w:rsidRPr="00B91524" w:rsidRDefault="008E7805" w:rsidP="00E021A6">
      <w:pPr>
        <w:pStyle w:val="Bullet"/>
        <w:spacing w:after="200" w:line="276" w:lineRule="auto"/>
        <w:jc w:val="both"/>
        <w:rPr>
          <w:lang w:val="en-US"/>
        </w:rPr>
      </w:pPr>
      <w:r w:rsidRPr="00B91524">
        <w:rPr>
          <w:rFonts w:eastAsia="Calibri"/>
          <w:noProof/>
          <w:lang w:eastAsia="en-GB"/>
        </w:rPr>
        <w:t>Taking an adaptive approach, where appropriate.</w:t>
      </w:r>
    </w:p>
    <w:p w14:paraId="32B3D8E1" w14:textId="1D57E538" w:rsidR="00D32497" w:rsidRPr="00B91524" w:rsidRDefault="00D32497" w:rsidP="00D32497">
      <w:pPr>
        <w:pStyle w:val="Heading2"/>
        <w:ind w:hanging="856"/>
      </w:pPr>
      <w:bookmarkStart w:id="21" w:name="_Toc8308493"/>
      <w:bookmarkStart w:id="22" w:name="_Toc12615186"/>
      <w:bookmarkStart w:id="23" w:name="_Toc12615455"/>
      <w:bookmarkStart w:id="24" w:name="_Ref46089258"/>
      <w:bookmarkStart w:id="25" w:name="_Toc74670315"/>
      <w:bookmarkStart w:id="26" w:name="_Toc40648420"/>
      <w:bookmarkStart w:id="27" w:name="_Toc37915969"/>
      <w:bookmarkStart w:id="28" w:name="_Ref40432747"/>
      <w:bookmarkStart w:id="29" w:name="_Toc40437678"/>
      <w:bookmarkStart w:id="30" w:name="_Toc41050564"/>
      <w:bookmarkEnd w:id="21"/>
      <w:bookmarkEnd w:id="22"/>
      <w:bookmarkEnd w:id="23"/>
      <w:r w:rsidRPr="00B91524">
        <w:t>Existing and prospect data</w:t>
      </w:r>
      <w:bookmarkEnd w:id="24"/>
      <w:bookmarkEnd w:id="25"/>
    </w:p>
    <w:p w14:paraId="7C8BCCB6" w14:textId="19ABC684" w:rsidR="004E182D" w:rsidRPr="00B91524" w:rsidRDefault="00B8000D" w:rsidP="007908D8">
      <w:pPr>
        <w:pStyle w:val="Reportbodytextnumbering"/>
      </w:pPr>
      <w:r w:rsidRPr="00B91524">
        <w:t xml:space="preserve">Appendix </w:t>
      </w:r>
      <w:r w:rsidR="000502CC" w:rsidRPr="00B91524">
        <w:t>B</w:t>
      </w:r>
      <w:r w:rsidRPr="00B91524">
        <w:t xml:space="preserve"> provides a full account of the existing benthic ecology information and datasets that have been used to inform the development of this BMP. Further descriptions of these datasets were set out in The </w:t>
      </w:r>
      <w:r w:rsidR="001C6C87" w:rsidRPr="00B91524">
        <w:t xml:space="preserve">SOWF </w:t>
      </w:r>
      <w:r w:rsidRPr="00B91524">
        <w:t xml:space="preserve">‘Benthic Monitoring Plan: Supporting Studies Document’ submitted to the MMO in </w:t>
      </w:r>
      <w:r w:rsidR="002D57DD" w:rsidRPr="00B91524">
        <w:t>November 2019</w:t>
      </w:r>
      <w:r w:rsidRPr="00B91524">
        <w:t xml:space="preserve">. </w:t>
      </w:r>
      <w:bookmarkEnd w:id="26"/>
      <w:bookmarkEnd w:id="27"/>
    </w:p>
    <w:p w14:paraId="1A39518A" w14:textId="77777777" w:rsidR="008209FF" w:rsidRPr="00B91524" w:rsidRDefault="008209FF" w:rsidP="008209FF">
      <w:pPr>
        <w:pStyle w:val="Heading2"/>
        <w:ind w:hanging="856"/>
      </w:pPr>
      <w:bookmarkStart w:id="31" w:name="_Toc74670316"/>
      <w:r w:rsidRPr="00B91524">
        <w:t>Consultation process</w:t>
      </w:r>
      <w:bookmarkEnd w:id="31"/>
    </w:p>
    <w:p w14:paraId="32ED8FCC" w14:textId="3669E825" w:rsidR="000E170F" w:rsidRPr="00B91524" w:rsidRDefault="000E170F" w:rsidP="007908D8">
      <w:pPr>
        <w:pStyle w:val="Reportbodytextnumbering"/>
      </w:pPr>
      <w:r w:rsidRPr="00B91524">
        <w:t>The approach to the development of the BMP has been presented for discussion with Natural England and the MMO as described by the consultation steps outlined in</w:t>
      </w:r>
      <w:r w:rsidR="002D57DD" w:rsidRPr="00B91524">
        <w:t xml:space="preserve"> </w:t>
      </w:r>
      <w:r w:rsidR="002D57DD" w:rsidRPr="00B91524">
        <w:fldChar w:fldCharType="begin"/>
      </w:r>
      <w:r w:rsidR="002D57DD" w:rsidRPr="00B91524">
        <w:instrText xml:space="preserve"> REF _Ref46089593 \h </w:instrText>
      </w:r>
      <w:r w:rsidR="002D57DD" w:rsidRPr="00B91524">
        <w:fldChar w:fldCharType="separate"/>
      </w:r>
      <w:r w:rsidR="00683595" w:rsidRPr="00B91524">
        <w:t xml:space="preserve">Table </w:t>
      </w:r>
      <w:r w:rsidR="00683595">
        <w:rPr>
          <w:noProof/>
        </w:rPr>
        <w:t>1</w:t>
      </w:r>
      <w:r w:rsidR="00683595" w:rsidRPr="00B91524">
        <w:noBreakHyphen/>
      </w:r>
      <w:r w:rsidR="00683595">
        <w:rPr>
          <w:noProof/>
        </w:rPr>
        <w:t>4</w:t>
      </w:r>
      <w:r w:rsidR="002D57DD" w:rsidRPr="00B91524">
        <w:fldChar w:fldCharType="end"/>
      </w:r>
      <w:r w:rsidRPr="00B91524">
        <w:t>.</w:t>
      </w:r>
    </w:p>
    <w:p w14:paraId="5EB24C37" w14:textId="77777777" w:rsidR="000E170F" w:rsidRPr="00B91524" w:rsidRDefault="000E170F" w:rsidP="007908D8">
      <w:pPr>
        <w:pStyle w:val="Reportbodytextnumbering"/>
      </w:pPr>
      <w:r w:rsidRPr="00B91524">
        <w:t>SOWFL has considered all consultation comments received and has incorporated them into the BMP where appropriate.</w:t>
      </w:r>
    </w:p>
    <w:p w14:paraId="420D819E" w14:textId="6C1CC1FC" w:rsidR="008209FF" w:rsidRPr="00B91524" w:rsidRDefault="008209FF" w:rsidP="008209FF">
      <w:pPr>
        <w:pStyle w:val="Caption"/>
      </w:pPr>
      <w:bookmarkStart w:id="32" w:name="_Ref46089593"/>
      <w:bookmarkStart w:id="33" w:name="_Toc61597203"/>
      <w:r w:rsidRPr="00B91524">
        <w:lastRenderedPageBreak/>
        <w:t xml:space="preserve">Table </w:t>
      </w:r>
      <w:r w:rsidR="00683595">
        <w:fldChar w:fldCharType="begin"/>
      </w:r>
      <w:r w:rsidR="00683595">
        <w:instrText xml:space="preserve"> STYLEREF 1 \s </w:instrText>
      </w:r>
      <w:r w:rsidR="00683595">
        <w:fldChar w:fldCharType="separate"/>
      </w:r>
      <w:r w:rsidR="00683595">
        <w:rPr>
          <w:noProof/>
        </w:rPr>
        <w:t>1</w:t>
      </w:r>
      <w:r w:rsidR="00683595">
        <w:rPr>
          <w:noProof/>
        </w:rPr>
        <w:fldChar w:fldCharType="end"/>
      </w:r>
      <w:r w:rsidR="00C82285" w:rsidRPr="00B91524">
        <w:noBreakHyphen/>
      </w:r>
      <w:r w:rsidR="00683595">
        <w:fldChar w:fldCharType="begin"/>
      </w:r>
      <w:r w:rsidR="00683595">
        <w:instrText xml:space="preserve"> SEQ Table \* A</w:instrText>
      </w:r>
      <w:r w:rsidR="00683595">
        <w:instrText xml:space="preserve">RABIC \s 1 </w:instrText>
      </w:r>
      <w:r w:rsidR="00683595">
        <w:fldChar w:fldCharType="separate"/>
      </w:r>
      <w:r w:rsidR="00683595">
        <w:rPr>
          <w:noProof/>
        </w:rPr>
        <w:t>4</w:t>
      </w:r>
      <w:r w:rsidR="00683595">
        <w:rPr>
          <w:noProof/>
        </w:rPr>
        <w:fldChar w:fldCharType="end"/>
      </w:r>
      <w:bookmarkEnd w:id="32"/>
      <w:r w:rsidRPr="00B91524">
        <w:t xml:space="preserve"> Consultation process for </w:t>
      </w:r>
      <w:r w:rsidR="001C6C87" w:rsidRPr="00B91524">
        <w:t xml:space="preserve">benthic </w:t>
      </w:r>
      <w:r w:rsidRPr="00B91524">
        <w:t>monitoring proposals.</w:t>
      </w:r>
      <w:bookmarkEnd w:id="33"/>
    </w:p>
    <w:tbl>
      <w:tblPr>
        <w:tblStyle w:val="SOWFLStyle2"/>
        <w:tblW w:w="9637" w:type="dxa"/>
        <w:tblLook w:val="04A0" w:firstRow="1" w:lastRow="0" w:firstColumn="1" w:lastColumn="0" w:noHBand="0" w:noVBand="1"/>
      </w:tblPr>
      <w:tblGrid>
        <w:gridCol w:w="4108"/>
        <w:gridCol w:w="1718"/>
        <w:gridCol w:w="1782"/>
        <w:gridCol w:w="2029"/>
      </w:tblGrid>
      <w:tr w:rsidR="008209FF" w:rsidRPr="00B91524" w14:paraId="4E5CDD62" w14:textId="77777777" w:rsidTr="008209FF">
        <w:trPr>
          <w:cnfStyle w:val="100000000000" w:firstRow="1" w:lastRow="0" w:firstColumn="0" w:lastColumn="0" w:oddVBand="0" w:evenVBand="0" w:oddHBand="0" w:evenHBand="0" w:firstRowFirstColumn="0" w:firstRowLastColumn="0" w:lastRowFirstColumn="0" w:lastRowLastColumn="0"/>
          <w:trHeight w:val="539"/>
          <w:tblHeader/>
        </w:trPr>
        <w:tc>
          <w:tcPr>
            <w:tcW w:w="4108" w:type="dxa"/>
          </w:tcPr>
          <w:p w14:paraId="1B3273AD" w14:textId="77777777" w:rsidR="008209FF" w:rsidRPr="00B91524" w:rsidRDefault="008209FF" w:rsidP="000E3029">
            <w:pPr>
              <w:rPr>
                <w:rFonts w:eastAsia="Calibri"/>
                <w:noProof/>
                <w:lang w:eastAsia="en-GB"/>
              </w:rPr>
            </w:pPr>
            <w:r w:rsidRPr="00B91524">
              <w:rPr>
                <w:rFonts w:cstheme="minorHAnsi"/>
                <w:sz w:val="20"/>
              </w:rPr>
              <w:t>Consultation</w:t>
            </w:r>
          </w:p>
        </w:tc>
        <w:tc>
          <w:tcPr>
            <w:tcW w:w="1718" w:type="dxa"/>
          </w:tcPr>
          <w:p w14:paraId="798C6F30" w14:textId="1B2E1CAC" w:rsidR="008209FF" w:rsidRPr="00B91524" w:rsidRDefault="008209FF" w:rsidP="000E3029">
            <w:pPr>
              <w:rPr>
                <w:rFonts w:eastAsia="Calibri"/>
                <w:noProof/>
                <w:lang w:eastAsia="en-GB"/>
              </w:rPr>
            </w:pPr>
            <w:r w:rsidRPr="00B91524">
              <w:rPr>
                <w:rFonts w:cstheme="minorHAnsi"/>
                <w:sz w:val="20"/>
              </w:rPr>
              <w:t>Reference</w:t>
            </w:r>
          </w:p>
        </w:tc>
        <w:tc>
          <w:tcPr>
            <w:tcW w:w="0" w:type="auto"/>
          </w:tcPr>
          <w:p w14:paraId="1B927F3F" w14:textId="77777777" w:rsidR="008209FF" w:rsidRPr="00B91524" w:rsidRDefault="008209FF" w:rsidP="000E3029">
            <w:pPr>
              <w:rPr>
                <w:rFonts w:eastAsia="Calibri"/>
                <w:noProof/>
                <w:lang w:eastAsia="en-GB"/>
              </w:rPr>
            </w:pPr>
            <w:r w:rsidRPr="00B91524">
              <w:rPr>
                <w:rFonts w:cstheme="minorHAnsi"/>
                <w:sz w:val="20"/>
              </w:rPr>
              <w:t>Date</w:t>
            </w:r>
          </w:p>
        </w:tc>
        <w:tc>
          <w:tcPr>
            <w:tcW w:w="0" w:type="auto"/>
          </w:tcPr>
          <w:p w14:paraId="5E2862A3" w14:textId="1BFB1397" w:rsidR="008209FF" w:rsidRPr="00B91524" w:rsidRDefault="008209FF" w:rsidP="000E3029">
            <w:pPr>
              <w:rPr>
                <w:rFonts w:eastAsia="Calibri"/>
                <w:noProof/>
                <w:lang w:eastAsia="en-GB"/>
              </w:rPr>
            </w:pPr>
            <w:r w:rsidRPr="00B91524">
              <w:rPr>
                <w:rFonts w:cstheme="minorHAnsi"/>
                <w:sz w:val="20"/>
              </w:rPr>
              <w:t>Document(S)</w:t>
            </w:r>
          </w:p>
        </w:tc>
      </w:tr>
      <w:tr w:rsidR="008209FF" w:rsidRPr="00B91524" w14:paraId="488FDFA1" w14:textId="77777777" w:rsidTr="008209FF">
        <w:tblPrEx>
          <w:tblCellMar>
            <w:top w:w="0" w:type="dxa"/>
            <w:bottom w:w="113" w:type="dxa"/>
          </w:tblCellMar>
        </w:tblPrEx>
        <w:trPr>
          <w:trHeight w:val="1065"/>
        </w:trPr>
        <w:tc>
          <w:tcPr>
            <w:tcW w:w="4108" w:type="dxa"/>
          </w:tcPr>
          <w:p w14:paraId="5BA5CE18" w14:textId="77777777" w:rsidR="008209FF" w:rsidRPr="00B91524" w:rsidRDefault="008209FF" w:rsidP="000E3029">
            <w:pPr>
              <w:rPr>
                <w:rFonts w:eastAsia="Calibri"/>
                <w:noProof/>
                <w:lang w:eastAsia="en-GB"/>
              </w:rPr>
            </w:pPr>
            <w:r w:rsidRPr="00B91524">
              <w:t>SOWFL (2019b) Sofia Offshore Wind Farm: Sofia Offshore Wind Farm: Project Update Meeting with Natural England: 20th August 2019: Benthic Note (no comments requested)</w:t>
            </w:r>
          </w:p>
        </w:tc>
        <w:tc>
          <w:tcPr>
            <w:tcW w:w="1718" w:type="dxa"/>
          </w:tcPr>
          <w:p w14:paraId="02E0523A" w14:textId="77777777" w:rsidR="008209FF" w:rsidRPr="00B91524" w:rsidRDefault="008209FF" w:rsidP="000E3029">
            <w:r w:rsidRPr="00B91524">
              <w:t>SOWFL and Ocean Ecology Ltd.</w:t>
            </w:r>
          </w:p>
        </w:tc>
        <w:tc>
          <w:tcPr>
            <w:tcW w:w="0" w:type="auto"/>
          </w:tcPr>
          <w:p w14:paraId="72BF36EF" w14:textId="77777777" w:rsidR="008209FF" w:rsidRPr="00B91524" w:rsidRDefault="008209FF" w:rsidP="000E3029">
            <w:r w:rsidRPr="00B91524">
              <w:t>20 August 2019</w:t>
            </w:r>
          </w:p>
        </w:tc>
        <w:tc>
          <w:tcPr>
            <w:tcW w:w="0" w:type="auto"/>
          </w:tcPr>
          <w:p w14:paraId="2CAB740D" w14:textId="77777777" w:rsidR="008209FF" w:rsidRPr="00B91524" w:rsidRDefault="008209FF" w:rsidP="000E3029">
            <w:r w:rsidRPr="00B91524">
              <w:t>003235279-01</w:t>
            </w:r>
          </w:p>
        </w:tc>
      </w:tr>
      <w:tr w:rsidR="008209FF" w:rsidRPr="00B91524" w14:paraId="47D4E367" w14:textId="77777777" w:rsidTr="008209FF">
        <w:tblPrEx>
          <w:tblCellMar>
            <w:top w:w="0" w:type="dxa"/>
            <w:bottom w:w="113" w:type="dxa"/>
          </w:tblCellMar>
        </w:tblPrEx>
        <w:tc>
          <w:tcPr>
            <w:tcW w:w="4108" w:type="dxa"/>
          </w:tcPr>
          <w:p w14:paraId="5282F336" w14:textId="77777777" w:rsidR="008209FF" w:rsidRPr="00B91524" w:rsidRDefault="008209FF" w:rsidP="000E3029">
            <w:r w:rsidRPr="00B91524">
              <w:t>Workshop with Natural England to discuss site investigation, additional characterisation surveys and development of the BMP (Meeting minutes)</w:t>
            </w:r>
          </w:p>
        </w:tc>
        <w:tc>
          <w:tcPr>
            <w:tcW w:w="1718" w:type="dxa"/>
          </w:tcPr>
          <w:p w14:paraId="04B942A7" w14:textId="77777777" w:rsidR="008209FF" w:rsidRPr="00B91524" w:rsidRDefault="008209FF" w:rsidP="000E3029">
            <w:r w:rsidRPr="00B91524">
              <w:t>-</w:t>
            </w:r>
          </w:p>
        </w:tc>
        <w:tc>
          <w:tcPr>
            <w:tcW w:w="0" w:type="auto"/>
          </w:tcPr>
          <w:p w14:paraId="523EA096" w14:textId="77777777" w:rsidR="008209FF" w:rsidRPr="00B91524" w:rsidRDefault="008209FF" w:rsidP="000E3029">
            <w:r w:rsidRPr="00B91524">
              <w:t>20 August 2019</w:t>
            </w:r>
          </w:p>
        </w:tc>
        <w:tc>
          <w:tcPr>
            <w:tcW w:w="0" w:type="auto"/>
          </w:tcPr>
          <w:p w14:paraId="47A382DE" w14:textId="77777777" w:rsidR="008209FF" w:rsidRPr="00B91524" w:rsidRDefault="008209FF" w:rsidP="000E3029">
            <w:r w:rsidRPr="00B91524">
              <w:t>003243288-01 (meeting minutes)</w:t>
            </w:r>
          </w:p>
          <w:p w14:paraId="66E05976" w14:textId="77777777" w:rsidR="008209FF" w:rsidRPr="00B91524" w:rsidRDefault="008209FF" w:rsidP="000E3029">
            <w:r w:rsidRPr="00B91524">
              <w:t>003195080-01 (presentation)</w:t>
            </w:r>
          </w:p>
        </w:tc>
      </w:tr>
      <w:tr w:rsidR="008209FF" w:rsidRPr="00B91524" w14:paraId="65C9EE09" w14:textId="77777777" w:rsidTr="008209FF">
        <w:tblPrEx>
          <w:tblCellMar>
            <w:top w:w="0" w:type="dxa"/>
            <w:bottom w:w="113" w:type="dxa"/>
          </w:tblCellMar>
        </w:tblPrEx>
        <w:tc>
          <w:tcPr>
            <w:tcW w:w="4108" w:type="dxa"/>
          </w:tcPr>
          <w:p w14:paraId="4D24B099" w14:textId="0552FAA8" w:rsidR="008209FF" w:rsidRPr="00B91524" w:rsidRDefault="008209FF" w:rsidP="000E3029">
            <w:r w:rsidRPr="00B91524">
              <w:t xml:space="preserve">SOWFL (2019c) Sofia Offshore Wind Farm: Benthic Monitoring Plan: Supporting Studies (comments requested) </w:t>
            </w:r>
          </w:p>
          <w:p w14:paraId="1397B0AE" w14:textId="77777777" w:rsidR="008209FF" w:rsidRPr="00B91524" w:rsidRDefault="008209FF" w:rsidP="000E3029">
            <w:r w:rsidRPr="00B91524">
              <w:t>Response from Natural England received</w:t>
            </w:r>
          </w:p>
          <w:p w14:paraId="3D61C78C" w14:textId="77777777" w:rsidR="008209FF" w:rsidRPr="00B91524" w:rsidRDefault="008209FF" w:rsidP="000E3029">
            <w:r w:rsidRPr="00B91524">
              <w:t>Response from MMO received</w:t>
            </w:r>
          </w:p>
        </w:tc>
        <w:tc>
          <w:tcPr>
            <w:tcW w:w="1718" w:type="dxa"/>
          </w:tcPr>
          <w:p w14:paraId="549FFE76" w14:textId="022C7678" w:rsidR="008209FF" w:rsidRPr="00B91524" w:rsidRDefault="008209FF" w:rsidP="008209FF">
            <w:r w:rsidRPr="00B91524">
              <w:t>SOWFL and Ocean Ecology Ltd.</w:t>
            </w:r>
          </w:p>
          <w:p w14:paraId="18F1CAD0" w14:textId="77777777" w:rsidR="008209FF" w:rsidRPr="00B91524" w:rsidRDefault="008209FF" w:rsidP="000E3029">
            <w:r w:rsidRPr="00B91524">
              <w:t>Natural England</w:t>
            </w:r>
          </w:p>
          <w:p w14:paraId="0EFE4E27" w14:textId="77777777" w:rsidR="008209FF" w:rsidRPr="00B91524" w:rsidRDefault="008209FF" w:rsidP="000E3029">
            <w:r w:rsidRPr="00B91524">
              <w:t>MMO</w:t>
            </w:r>
          </w:p>
        </w:tc>
        <w:tc>
          <w:tcPr>
            <w:tcW w:w="0" w:type="auto"/>
          </w:tcPr>
          <w:p w14:paraId="6C126297" w14:textId="7EC978C3" w:rsidR="008209FF" w:rsidRPr="00B91524" w:rsidRDefault="008209FF" w:rsidP="008209FF">
            <w:r w:rsidRPr="00B91524">
              <w:t>20 November 2019</w:t>
            </w:r>
          </w:p>
          <w:p w14:paraId="185D2448" w14:textId="77777777" w:rsidR="008209FF" w:rsidRPr="00B91524" w:rsidRDefault="008209FF" w:rsidP="008209FF">
            <w:r w:rsidRPr="00B91524">
              <w:t>20 December 2019</w:t>
            </w:r>
          </w:p>
          <w:p w14:paraId="4845A783" w14:textId="0D1E98A5" w:rsidR="008209FF" w:rsidRPr="00B91524" w:rsidRDefault="008209FF" w:rsidP="008209FF">
            <w:pPr>
              <w:ind w:left="0"/>
            </w:pPr>
            <w:r w:rsidRPr="00B91524">
              <w:t xml:space="preserve">  10 January 2020</w:t>
            </w:r>
          </w:p>
        </w:tc>
        <w:tc>
          <w:tcPr>
            <w:tcW w:w="0" w:type="auto"/>
          </w:tcPr>
          <w:p w14:paraId="7CE11EF8" w14:textId="3B4492E0" w:rsidR="008209FF" w:rsidRPr="00B91524" w:rsidRDefault="008209FF" w:rsidP="008209FF">
            <w:r w:rsidRPr="00B91524">
              <w:t>003097005-01</w:t>
            </w:r>
          </w:p>
          <w:p w14:paraId="636E09B3" w14:textId="77777777" w:rsidR="008209FF" w:rsidRPr="00B91524" w:rsidRDefault="008209FF" w:rsidP="000E3029">
            <w:r w:rsidRPr="00B91524">
              <w:t>DAS/ USD 3386 303525</w:t>
            </w:r>
          </w:p>
          <w:p w14:paraId="0F7710BD" w14:textId="77777777" w:rsidR="008209FF" w:rsidRPr="00B91524" w:rsidRDefault="008209FF" w:rsidP="000E3029">
            <w:r w:rsidRPr="00B91524">
              <w:t>DCO/2013/00011</w:t>
            </w:r>
          </w:p>
        </w:tc>
      </w:tr>
      <w:tr w:rsidR="008209FF" w:rsidRPr="00B91524" w14:paraId="4309F085" w14:textId="77777777" w:rsidTr="008209FF">
        <w:tblPrEx>
          <w:tblCellMar>
            <w:top w:w="0" w:type="dxa"/>
            <w:bottom w:w="113" w:type="dxa"/>
          </w:tblCellMar>
        </w:tblPrEx>
        <w:tc>
          <w:tcPr>
            <w:tcW w:w="4108" w:type="dxa"/>
          </w:tcPr>
          <w:p w14:paraId="1D8FD2F0" w14:textId="4613588C" w:rsidR="008209FF" w:rsidRPr="00B91524" w:rsidRDefault="008209FF" w:rsidP="000E3029">
            <w:r w:rsidRPr="00B91524">
              <w:t xml:space="preserve">Meeting with Natural England, </w:t>
            </w:r>
            <w:r w:rsidR="00372278" w:rsidRPr="00B91524">
              <w:t>Centre for Environment Fisheries and Aquaculture Science  (</w:t>
            </w:r>
            <w:proofErr w:type="spellStart"/>
            <w:r w:rsidRPr="00B91524">
              <w:t>Cefas</w:t>
            </w:r>
            <w:proofErr w:type="spellEnd"/>
            <w:r w:rsidR="00372278" w:rsidRPr="00B91524">
              <w:t>)</w:t>
            </w:r>
            <w:r w:rsidRPr="00B91524">
              <w:t xml:space="preserve"> and the MMO to discuss shortlisted monitoring options (final comments awaited from Natural England to agree notes)</w:t>
            </w:r>
          </w:p>
        </w:tc>
        <w:tc>
          <w:tcPr>
            <w:tcW w:w="1718" w:type="dxa"/>
          </w:tcPr>
          <w:p w14:paraId="319C05C0" w14:textId="77777777" w:rsidR="008209FF" w:rsidRPr="00B91524" w:rsidRDefault="008209FF" w:rsidP="000E3029">
            <w:r w:rsidRPr="00B91524">
              <w:t>-</w:t>
            </w:r>
          </w:p>
        </w:tc>
        <w:tc>
          <w:tcPr>
            <w:tcW w:w="0" w:type="auto"/>
          </w:tcPr>
          <w:p w14:paraId="499551F1" w14:textId="77777777" w:rsidR="008209FF" w:rsidRPr="00B91524" w:rsidRDefault="008209FF" w:rsidP="000E3029">
            <w:r w:rsidRPr="00B91524">
              <w:t>25 February 2020</w:t>
            </w:r>
          </w:p>
        </w:tc>
        <w:tc>
          <w:tcPr>
            <w:tcW w:w="0" w:type="auto"/>
          </w:tcPr>
          <w:p w14:paraId="35734127" w14:textId="0A2B5410" w:rsidR="008209FF" w:rsidRPr="00B91524" w:rsidRDefault="008209FF" w:rsidP="008209FF">
            <w:r w:rsidRPr="00B91524">
              <w:t>003527426-01 (meeting minutes)</w:t>
            </w:r>
          </w:p>
          <w:p w14:paraId="2197439F" w14:textId="77777777" w:rsidR="008209FF" w:rsidRPr="00B91524" w:rsidRDefault="008209FF" w:rsidP="000E3029">
            <w:r w:rsidRPr="00B91524">
              <w:t>003466055-01 (presentation)</w:t>
            </w:r>
          </w:p>
        </w:tc>
      </w:tr>
      <w:tr w:rsidR="008209FF" w:rsidRPr="00B91524" w14:paraId="42192E22" w14:textId="77777777" w:rsidTr="008209FF">
        <w:tblPrEx>
          <w:tblCellMar>
            <w:top w:w="0" w:type="dxa"/>
            <w:bottom w:w="113" w:type="dxa"/>
          </w:tblCellMar>
        </w:tblPrEx>
        <w:tc>
          <w:tcPr>
            <w:tcW w:w="4108" w:type="dxa"/>
          </w:tcPr>
          <w:p w14:paraId="6F5CFC46" w14:textId="77777777" w:rsidR="008209FF" w:rsidRPr="00B91524" w:rsidRDefault="008209FF" w:rsidP="000E3029">
            <w:r w:rsidRPr="00B91524">
              <w:t xml:space="preserve">SOWFL submission of mapping illustrating characterisation and </w:t>
            </w:r>
            <w:proofErr w:type="spellStart"/>
            <w:r w:rsidRPr="00B91524">
              <w:t>vibrocore</w:t>
            </w:r>
            <w:proofErr w:type="spellEnd"/>
            <w:r w:rsidRPr="00B91524">
              <w:t xml:space="preserve"> sampling locations with supporting justification.  </w:t>
            </w:r>
          </w:p>
          <w:p w14:paraId="5D470117" w14:textId="77777777" w:rsidR="008209FF" w:rsidRPr="00B91524" w:rsidRDefault="008209FF" w:rsidP="000E3029">
            <w:r w:rsidRPr="00B91524">
              <w:t>Response from Natural England received</w:t>
            </w:r>
          </w:p>
        </w:tc>
        <w:tc>
          <w:tcPr>
            <w:tcW w:w="1718" w:type="dxa"/>
          </w:tcPr>
          <w:p w14:paraId="0801AC58" w14:textId="77777777" w:rsidR="008209FF" w:rsidRPr="00B91524" w:rsidRDefault="008209FF" w:rsidP="000E3029">
            <w:r w:rsidRPr="00B91524">
              <w:t>-</w:t>
            </w:r>
          </w:p>
        </w:tc>
        <w:tc>
          <w:tcPr>
            <w:tcW w:w="0" w:type="auto"/>
          </w:tcPr>
          <w:p w14:paraId="433D6F68" w14:textId="77777777" w:rsidR="008209FF" w:rsidRPr="00B91524" w:rsidRDefault="008209FF" w:rsidP="000E3029">
            <w:r w:rsidRPr="00B91524">
              <w:t>16 March 2020</w:t>
            </w:r>
          </w:p>
          <w:p w14:paraId="211FC218" w14:textId="77777777" w:rsidR="008209FF" w:rsidRPr="00B91524" w:rsidRDefault="008209FF" w:rsidP="008209FF">
            <w:pPr>
              <w:ind w:left="0"/>
            </w:pPr>
          </w:p>
          <w:p w14:paraId="5A65E404" w14:textId="77777777" w:rsidR="008209FF" w:rsidRPr="00B91524" w:rsidRDefault="008209FF" w:rsidP="000E3029">
            <w:r w:rsidRPr="00B91524">
              <w:t>23 April 2020</w:t>
            </w:r>
          </w:p>
        </w:tc>
        <w:tc>
          <w:tcPr>
            <w:tcW w:w="0" w:type="auto"/>
          </w:tcPr>
          <w:p w14:paraId="11E94A5E" w14:textId="77777777" w:rsidR="008209FF" w:rsidRPr="00B91524" w:rsidRDefault="008209FF" w:rsidP="000E3029">
            <w:r w:rsidRPr="00B91524">
              <w:t>-</w:t>
            </w:r>
          </w:p>
          <w:p w14:paraId="70DBDB46" w14:textId="77777777" w:rsidR="008209FF" w:rsidRPr="00B91524" w:rsidRDefault="008209FF" w:rsidP="008209FF">
            <w:pPr>
              <w:ind w:left="0"/>
            </w:pPr>
          </w:p>
          <w:p w14:paraId="3D781061" w14:textId="77777777" w:rsidR="008209FF" w:rsidRPr="00B91524" w:rsidRDefault="008209FF" w:rsidP="000E3029">
            <w:r w:rsidRPr="00B91524">
              <w:t>315066/5849</w:t>
            </w:r>
          </w:p>
        </w:tc>
      </w:tr>
      <w:tr w:rsidR="008209FF" w:rsidRPr="00B91524" w14:paraId="38EBAB9D" w14:textId="77777777" w:rsidTr="008209FF">
        <w:tblPrEx>
          <w:tblCellMar>
            <w:top w:w="0" w:type="dxa"/>
            <w:bottom w:w="113" w:type="dxa"/>
          </w:tblCellMar>
        </w:tblPrEx>
        <w:tc>
          <w:tcPr>
            <w:tcW w:w="4108" w:type="dxa"/>
          </w:tcPr>
          <w:p w14:paraId="5B0BA079" w14:textId="77777777" w:rsidR="008209FF" w:rsidRPr="00B91524" w:rsidRDefault="008209FF" w:rsidP="000E3029">
            <w:r w:rsidRPr="00B91524">
              <w:t>SOWFL response to Natural England queries and further information to support characterisation sampling locations.</w:t>
            </w:r>
          </w:p>
          <w:p w14:paraId="68181ECB" w14:textId="77777777" w:rsidR="008209FF" w:rsidRPr="00B91524" w:rsidRDefault="008209FF" w:rsidP="000E3029">
            <w:r w:rsidRPr="00B91524">
              <w:t>Response from Natural England received</w:t>
            </w:r>
          </w:p>
        </w:tc>
        <w:tc>
          <w:tcPr>
            <w:tcW w:w="1718" w:type="dxa"/>
          </w:tcPr>
          <w:p w14:paraId="00622D9D" w14:textId="77777777" w:rsidR="008209FF" w:rsidRPr="00B91524" w:rsidRDefault="008209FF" w:rsidP="000E3029">
            <w:r w:rsidRPr="00B91524">
              <w:t>-</w:t>
            </w:r>
          </w:p>
        </w:tc>
        <w:tc>
          <w:tcPr>
            <w:tcW w:w="0" w:type="auto"/>
          </w:tcPr>
          <w:p w14:paraId="517C87AC" w14:textId="77777777" w:rsidR="008209FF" w:rsidRPr="00B91524" w:rsidRDefault="008209FF" w:rsidP="000E3029">
            <w:r w:rsidRPr="00B91524">
              <w:t>29 April 2020</w:t>
            </w:r>
          </w:p>
          <w:p w14:paraId="57D3C964" w14:textId="77777777" w:rsidR="008209FF" w:rsidRPr="00B91524" w:rsidRDefault="008209FF" w:rsidP="008209FF">
            <w:pPr>
              <w:ind w:left="0"/>
            </w:pPr>
          </w:p>
          <w:p w14:paraId="72E1DC4A" w14:textId="77777777" w:rsidR="008209FF" w:rsidRPr="00B91524" w:rsidRDefault="008209FF" w:rsidP="000E3029">
            <w:r w:rsidRPr="00B91524">
              <w:t>15 May 2020</w:t>
            </w:r>
          </w:p>
        </w:tc>
        <w:tc>
          <w:tcPr>
            <w:tcW w:w="0" w:type="auto"/>
          </w:tcPr>
          <w:p w14:paraId="5DCCF05A" w14:textId="77777777" w:rsidR="008209FF" w:rsidRPr="00B91524" w:rsidRDefault="008209FF" w:rsidP="000E3029">
            <w:r w:rsidRPr="00B91524">
              <w:t>003591923-01</w:t>
            </w:r>
          </w:p>
          <w:p w14:paraId="61BCAE5A" w14:textId="77777777" w:rsidR="008209FF" w:rsidRPr="00B91524" w:rsidRDefault="008209FF" w:rsidP="008209FF">
            <w:pPr>
              <w:ind w:left="0"/>
            </w:pPr>
          </w:p>
          <w:p w14:paraId="1E79923B" w14:textId="77777777" w:rsidR="008209FF" w:rsidRPr="00B91524" w:rsidRDefault="008209FF" w:rsidP="000E3029">
            <w:r w:rsidRPr="00B91524">
              <w:t>315066/5849</w:t>
            </w:r>
          </w:p>
        </w:tc>
      </w:tr>
      <w:tr w:rsidR="008209FF" w:rsidRPr="00B91524" w14:paraId="21371D5E" w14:textId="77777777" w:rsidTr="008209FF">
        <w:tblPrEx>
          <w:tblCellMar>
            <w:top w:w="0" w:type="dxa"/>
            <w:bottom w:w="113" w:type="dxa"/>
          </w:tblCellMar>
        </w:tblPrEx>
        <w:tc>
          <w:tcPr>
            <w:tcW w:w="4108" w:type="dxa"/>
          </w:tcPr>
          <w:p w14:paraId="44237921" w14:textId="78955B87" w:rsidR="008209FF" w:rsidRPr="00B91524" w:rsidRDefault="008209FF" w:rsidP="000E3029">
            <w:r w:rsidRPr="00B91524">
              <w:t xml:space="preserve">Ongoing discussions with </w:t>
            </w:r>
            <w:proofErr w:type="spellStart"/>
            <w:r w:rsidRPr="00B91524">
              <w:t>Senckenberg</w:t>
            </w:r>
            <w:proofErr w:type="spellEnd"/>
            <w:r w:rsidRPr="00B91524">
              <w:t xml:space="preserve"> Research Institute</w:t>
            </w:r>
            <w:r w:rsidR="00B83C50" w:rsidRPr="00B91524">
              <w:t xml:space="preserve"> (SRI)</w:t>
            </w:r>
            <w:r w:rsidRPr="00B91524">
              <w:t xml:space="preserve"> regarding monitoring</w:t>
            </w:r>
          </w:p>
        </w:tc>
        <w:tc>
          <w:tcPr>
            <w:tcW w:w="1718" w:type="dxa"/>
          </w:tcPr>
          <w:p w14:paraId="1FEAD1B0" w14:textId="77777777" w:rsidR="008209FF" w:rsidRPr="00B91524" w:rsidRDefault="008209FF" w:rsidP="000E3029">
            <w:r w:rsidRPr="00B91524">
              <w:t>-</w:t>
            </w:r>
          </w:p>
        </w:tc>
        <w:tc>
          <w:tcPr>
            <w:tcW w:w="0" w:type="auto"/>
          </w:tcPr>
          <w:p w14:paraId="0E7B1998" w14:textId="77777777" w:rsidR="008209FF" w:rsidRPr="00B91524" w:rsidRDefault="008209FF" w:rsidP="000E3029">
            <w:r w:rsidRPr="00B91524">
              <w:t>January and April 2020. Ongoing discussions.</w:t>
            </w:r>
          </w:p>
        </w:tc>
        <w:tc>
          <w:tcPr>
            <w:tcW w:w="0" w:type="auto"/>
          </w:tcPr>
          <w:p w14:paraId="239188BA" w14:textId="77777777" w:rsidR="008209FF" w:rsidRPr="00B91524" w:rsidRDefault="008209FF" w:rsidP="000E3029">
            <w:r w:rsidRPr="00B91524">
              <w:t>-</w:t>
            </w:r>
          </w:p>
        </w:tc>
      </w:tr>
      <w:tr w:rsidR="001A7328" w:rsidRPr="00B91524" w14:paraId="52ECC019" w14:textId="77777777" w:rsidTr="008209FF">
        <w:tblPrEx>
          <w:tblCellMar>
            <w:top w:w="0" w:type="dxa"/>
            <w:bottom w:w="113" w:type="dxa"/>
          </w:tblCellMar>
        </w:tblPrEx>
        <w:tc>
          <w:tcPr>
            <w:tcW w:w="4108" w:type="dxa"/>
          </w:tcPr>
          <w:p w14:paraId="2ED42CA3" w14:textId="77777777" w:rsidR="001A7328" w:rsidRPr="00B91524" w:rsidRDefault="001A7328" w:rsidP="001A7328">
            <w:r w:rsidRPr="00B91524">
              <w:t xml:space="preserve">SOWFL submission of Benthic Monitoring Plan (comments requested)  </w:t>
            </w:r>
          </w:p>
          <w:p w14:paraId="351DAA0B" w14:textId="1CC128AE" w:rsidR="001A7328" w:rsidRPr="00B91524" w:rsidRDefault="001A7328" w:rsidP="001A7328">
            <w:r w:rsidRPr="00B91524">
              <w:t>Response from Natural England received</w:t>
            </w:r>
          </w:p>
        </w:tc>
        <w:tc>
          <w:tcPr>
            <w:tcW w:w="1718" w:type="dxa"/>
          </w:tcPr>
          <w:p w14:paraId="39426F48" w14:textId="77777777" w:rsidR="001A7328" w:rsidRPr="00B91524" w:rsidRDefault="001A7328" w:rsidP="001A7328">
            <w:r w:rsidRPr="00B91524">
              <w:t>SOWFL and Ocean Ecology Ltd.</w:t>
            </w:r>
          </w:p>
          <w:p w14:paraId="44B3EF5A" w14:textId="77777777" w:rsidR="001A7328" w:rsidRPr="00B91524" w:rsidRDefault="001A7328" w:rsidP="001A7328">
            <w:r w:rsidRPr="00B91524">
              <w:t>Natural England</w:t>
            </w:r>
          </w:p>
          <w:p w14:paraId="4E113A31" w14:textId="45F23380" w:rsidR="001A7328" w:rsidRPr="00B91524" w:rsidRDefault="001A7328" w:rsidP="001A7328">
            <w:r w:rsidRPr="00B91524">
              <w:t>CEFAS</w:t>
            </w:r>
          </w:p>
        </w:tc>
        <w:tc>
          <w:tcPr>
            <w:tcW w:w="0" w:type="auto"/>
          </w:tcPr>
          <w:p w14:paraId="77AE8D3D" w14:textId="77777777" w:rsidR="001A7328" w:rsidRPr="00B91524" w:rsidRDefault="001A7328" w:rsidP="001A7328">
            <w:r w:rsidRPr="00B91524">
              <w:t>09 September 2020</w:t>
            </w:r>
          </w:p>
          <w:p w14:paraId="7E6D51E5" w14:textId="77777777" w:rsidR="001A7328" w:rsidRPr="00B91524" w:rsidRDefault="001A7328" w:rsidP="001A7328"/>
          <w:p w14:paraId="42EBBE65" w14:textId="77777777" w:rsidR="001A7328" w:rsidRPr="00B91524" w:rsidRDefault="001A7328" w:rsidP="001A7328">
            <w:r w:rsidRPr="00B91524">
              <w:t>07 October 2020</w:t>
            </w:r>
          </w:p>
          <w:p w14:paraId="68F3FA70" w14:textId="77777777" w:rsidR="001A7328" w:rsidRPr="00B91524" w:rsidRDefault="001A7328" w:rsidP="001A7328"/>
          <w:p w14:paraId="05F24D9C" w14:textId="72DB7B0B" w:rsidR="001A7328" w:rsidRPr="00B91524" w:rsidRDefault="001A7328" w:rsidP="001A7328">
            <w:r w:rsidRPr="00B91524">
              <w:t>13 October 2020</w:t>
            </w:r>
          </w:p>
        </w:tc>
        <w:tc>
          <w:tcPr>
            <w:tcW w:w="0" w:type="auto"/>
          </w:tcPr>
          <w:p w14:paraId="690C4576" w14:textId="77777777" w:rsidR="001A7328" w:rsidRPr="00B91524" w:rsidRDefault="001A7328" w:rsidP="001A7328">
            <w:r w:rsidRPr="00B91524">
              <w:t>-</w:t>
            </w:r>
          </w:p>
          <w:p w14:paraId="16D1B26F" w14:textId="77777777" w:rsidR="001A7328" w:rsidRPr="00B91524" w:rsidRDefault="001A7328" w:rsidP="001A7328">
            <w:pPr>
              <w:ind w:left="0"/>
            </w:pPr>
          </w:p>
          <w:p w14:paraId="3B980B0D" w14:textId="05B71BC1" w:rsidR="001A7328" w:rsidRPr="00B91524" w:rsidRDefault="001A7328" w:rsidP="001A7328">
            <w:r w:rsidRPr="00B91524">
              <w:t>315066/5849</w:t>
            </w:r>
          </w:p>
        </w:tc>
      </w:tr>
      <w:tr w:rsidR="00292783" w:rsidRPr="00B91524" w14:paraId="267E9164" w14:textId="77777777" w:rsidTr="008209FF">
        <w:tblPrEx>
          <w:tblCellMar>
            <w:top w:w="0" w:type="dxa"/>
            <w:bottom w:w="113" w:type="dxa"/>
          </w:tblCellMar>
        </w:tblPrEx>
        <w:tc>
          <w:tcPr>
            <w:tcW w:w="4108" w:type="dxa"/>
          </w:tcPr>
          <w:p w14:paraId="4DE13194" w14:textId="59C470AE" w:rsidR="00292783" w:rsidRPr="00B91524" w:rsidRDefault="00292783" w:rsidP="00292783">
            <w:r w:rsidRPr="00B91524">
              <w:lastRenderedPageBreak/>
              <w:t xml:space="preserve">SOWFL submission of updated Benthic Monitoring Plan </w:t>
            </w:r>
            <w:r w:rsidR="00CF7CCA" w:rsidRPr="00B91524">
              <w:t xml:space="preserve">including nearshore sampling </w:t>
            </w:r>
            <w:r w:rsidR="007B5C9E" w:rsidRPr="00B91524">
              <w:t>design rationale</w:t>
            </w:r>
            <w:r w:rsidR="00CF7CCA" w:rsidRPr="00B91524">
              <w:t xml:space="preserve"> (</w:t>
            </w:r>
            <w:r w:rsidRPr="00B91524">
              <w:t xml:space="preserve">comments requested)  </w:t>
            </w:r>
          </w:p>
          <w:p w14:paraId="12589E8A" w14:textId="33920E1E" w:rsidR="00292783" w:rsidRPr="00B91524" w:rsidRDefault="00C45C03" w:rsidP="00292783">
            <w:r w:rsidRPr="00B91524">
              <w:t xml:space="preserve">Sign off following consultation with NE and </w:t>
            </w:r>
            <w:proofErr w:type="spellStart"/>
            <w:r w:rsidRPr="00B91524">
              <w:t>Cefas</w:t>
            </w:r>
            <w:proofErr w:type="spellEnd"/>
          </w:p>
        </w:tc>
        <w:tc>
          <w:tcPr>
            <w:tcW w:w="1718" w:type="dxa"/>
          </w:tcPr>
          <w:p w14:paraId="61C0B9D7" w14:textId="77777777" w:rsidR="00292783" w:rsidRPr="00B91524" w:rsidRDefault="00292783" w:rsidP="00292783">
            <w:r w:rsidRPr="00B91524">
              <w:t>SOWFL and Ocean Ecology Ltd.</w:t>
            </w:r>
          </w:p>
          <w:p w14:paraId="6CC6DF35" w14:textId="4538F4F9" w:rsidR="00292783" w:rsidRPr="00B91524" w:rsidRDefault="00C45C03" w:rsidP="00292783">
            <w:r w:rsidRPr="00B91524">
              <w:t>MMO</w:t>
            </w:r>
          </w:p>
        </w:tc>
        <w:tc>
          <w:tcPr>
            <w:tcW w:w="0" w:type="auto"/>
          </w:tcPr>
          <w:p w14:paraId="6BC28920" w14:textId="107C47DF" w:rsidR="00292783" w:rsidRPr="00B91524" w:rsidRDefault="009A217D" w:rsidP="00292783">
            <w:r w:rsidRPr="00B91524">
              <w:t>01 March 2021</w:t>
            </w:r>
            <w:r w:rsidR="00292783" w:rsidRPr="00B91524">
              <w:t xml:space="preserve"> </w:t>
            </w:r>
          </w:p>
          <w:p w14:paraId="2113916E" w14:textId="77777777" w:rsidR="00292783" w:rsidRPr="00B91524" w:rsidRDefault="00292783" w:rsidP="00292783"/>
          <w:p w14:paraId="246DF49C" w14:textId="2F656F40" w:rsidR="00292783" w:rsidRPr="00B91524" w:rsidRDefault="00C45C03" w:rsidP="00292783">
            <w:r w:rsidRPr="00B91524">
              <w:t>09 March 2021</w:t>
            </w:r>
          </w:p>
        </w:tc>
        <w:tc>
          <w:tcPr>
            <w:tcW w:w="0" w:type="auto"/>
          </w:tcPr>
          <w:p w14:paraId="0E4BBD46" w14:textId="624CFA03" w:rsidR="00C45C03" w:rsidRPr="00B91524" w:rsidRDefault="00C45C03" w:rsidP="00C45C03">
            <w:pPr>
              <w:pStyle w:val="Default"/>
              <w:rPr>
                <w:rFonts w:ascii="Arial" w:eastAsia="Times New Roman" w:hAnsi="Arial" w:cs="Times New Roman"/>
                <w:color w:val="auto"/>
                <w:sz w:val="18"/>
                <w:szCs w:val="20"/>
              </w:rPr>
            </w:pPr>
            <w:r w:rsidRPr="00B91524">
              <w:rPr>
                <w:rFonts w:ascii="Arial" w:eastAsia="Times New Roman" w:hAnsi="Arial" w:cs="Times New Roman"/>
                <w:color w:val="auto"/>
                <w:sz w:val="18"/>
                <w:szCs w:val="20"/>
              </w:rPr>
              <w:t>003552655-04</w:t>
            </w:r>
          </w:p>
          <w:p w14:paraId="0AA8E227" w14:textId="77777777" w:rsidR="00C45C03" w:rsidRPr="00B91524" w:rsidRDefault="00C45C03" w:rsidP="00C45C03">
            <w:pPr>
              <w:ind w:left="0"/>
            </w:pPr>
          </w:p>
          <w:p w14:paraId="5BA16C00" w14:textId="77777777" w:rsidR="00C45C03" w:rsidRPr="00B91524" w:rsidRDefault="00C45C03" w:rsidP="00C45C03">
            <w:pPr>
              <w:ind w:left="0"/>
            </w:pPr>
            <w:r w:rsidRPr="00B91524">
              <w:rPr>
                <w:rFonts w:ascii="Times New Roman" w:eastAsiaTheme="minorHAnsi" w:hAnsi="Times New Roman"/>
                <w:color w:val="000000"/>
                <w:sz w:val="24"/>
                <w:szCs w:val="24"/>
              </w:rPr>
              <w:t xml:space="preserve"> </w:t>
            </w:r>
            <w:r w:rsidRPr="00B91524">
              <w:t>DCO/2013/00011</w:t>
            </w:r>
          </w:p>
          <w:p w14:paraId="294DBDFE" w14:textId="6169C8E2" w:rsidR="00292783" w:rsidRPr="00B91524" w:rsidRDefault="00292783" w:rsidP="00292783"/>
        </w:tc>
      </w:tr>
    </w:tbl>
    <w:p w14:paraId="5A6E51CC" w14:textId="77777777" w:rsidR="008209FF" w:rsidRPr="00B91524" w:rsidRDefault="008209FF" w:rsidP="008209FF">
      <w:pPr>
        <w:rPr>
          <w:rFonts w:eastAsia="Calibri"/>
          <w:noProof/>
          <w:lang w:eastAsia="en-GB"/>
        </w:rPr>
      </w:pPr>
    </w:p>
    <w:p w14:paraId="36D14548" w14:textId="31329506" w:rsidR="008209FF" w:rsidRPr="00B91524" w:rsidRDefault="008209FF" w:rsidP="007908D8">
      <w:pPr>
        <w:pStyle w:val="Reportbodytextnumbering"/>
        <w:sectPr w:rsidR="008209FF" w:rsidRPr="00B91524" w:rsidSect="00660AD8">
          <w:headerReference w:type="default" r:id="rId17"/>
          <w:footerReference w:type="default" r:id="rId18"/>
          <w:pgSz w:w="11916" w:h="16848"/>
          <w:pgMar w:top="1440" w:right="1080" w:bottom="1440" w:left="1080" w:header="850" w:footer="708" w:gutter="0"/>
          <w:cols w:space="720"/>
          <w:docGrid w:linePitch="360"/>
        </w:sectPr>
      </w:pPr>
    </w:p>
    <w:p w14:paraId="78955AB7" w14:textId="3E625E9F" w:rsidR="00841CB7" w:rsidRPr="00B91524" w:rsidRDefault="00841CB7" w:rsidP="00C069CB">
      <w:pPr>
        <w:pStyle w:val="Heading1"/>
      </w:pPr>
      <w:bookmarkStart w:id="34" w:name="_Ref50445579"/>
      <w:bookmarkStart w:id="35" w:name="_Toc74670317"/>
      <w:bookmarkStart w:id="36" w:name="_Ref46089080"/>
      <w:r w:rsidRPr="00B91524">
        <w:lastRenderedPageBreak/>
        <w:t>project description</w:t>
      </w:r>
      <w:bookmarkEnd w:id="34"/>
      <w:bookmarkEnd w:id="35"/>
    </w:p>
    <w:p w14:paraId="6225D144" w14:textId="3240E64B" w:rsidR="007908D8" w:rsidRPr="00B91524" w:rsidRDefault="007908D8" w:rsidP="007908D8">
      <w:pPr>
        <w:pStyle w:val="Heading2"/>
        <w:ind w:hanging="856"/>
      </w:pPr>
      <w:bookmarkStart w:id="37" w:name="_Toc74670318"/>
      <w:r w:rsidRPr="00B91524">
        <w:t>overview</w:t>
      </w:r>
      <w:bookmarkEnd w:id="37"/>
    </w:p>
    <w:p w14:paraId="24B8E4DC" w14:textId="6A383225" w:rsidR="005F6C00" w:rsidRPr="00B91524" w:rsidRDefault="00084637" w:rsidP="007908D8">
      <w:pPr>
        <w:pStyle w:val="Reportbodytextnumbering"/>
      </w:pPr>
      <w:r w:rsidRPr="00B91524">
        <w:t xml:space="preserve">The SOWF site is located approximately 165 km offshore on the shallow central area of the North Sea known as the Dogger Bank with the export cable landfall in an area between </w:t>
      </w:r>
      <w:proofErr w:type="spellStart"/>
      <w:r w:rsidRPr="00B91524">
        <w:t>Redcar</w:t>
      </w:r>
      <w:proofErr w:type="spellEnd"/>
      <w:r w:rsidRPr="00B91524">
        <w:t xml:space="preserve"> and Marske-by-the-Sea (Figure 1). Water depths in the array area are between 21 m and 37 m and water depths along the export cable corridor are up to 82 m. </w:t>
      </w:r>
    </w:p>
    <w:p w14:paraId="364C468B" w14:textId="718DA025" w:rsidR="005F6C00" w:rsidRPr="00B91524" w:rsidRDefault="005F6C00" w:rsidP="007908D8">
      <w:pPr>
        <w:pStyle w:val="Reportbodytextnumbering"/>
      </w:pPr>
      <w:r w:rsidRPr="00B91524">
        <w:t xml:space="preserve">In the former Dogger Bank Zone, there are three other consented projects </w:t>
      </w:r>
      <w:r w:rsidR="00180EB8" w:rsidRPr="00B91524">
        <w:t xml:space="preserve">that </w:t>
      </w:r>
      <w:r w:rsidR="008F043A" w:rsidRPr="00B91524">
        <w:t>neighbor</w:t>
      </w:r>
      <w:r w:rsidR="00180EB8" w:rsidRPr="00B91524">
        <w:t xml:space="preserve"> the</w:t>
      </w:r>
      <w:r w:rsidRPr="00B91524">
        <w:t xml:space="preserve"> SOWF</w:t>
      </w:r>
      <w:r w:rsidR="00180EB8" w:rsidRPr="00B91524">
        <w:t>. These are</w:t>
      </w:r>
      <w:r w:rsidRPr="00B91524">
        <w:t xml:space="preserve"> Dogger Bank A (DBA), Dogger Bank B (DBB) and Dogger Bank C (DBC) all of which are jointly owned by SSE and </w:t>
      </w:r>
      <w:proofErr w:type="spellStart"/>
      <w:r w:rsidRPr="00B91524">
        <w:t>Equinor</w:t>
      </w:r>
      <w:proofErr w:type="spellEnd"/>
      <w:r w:rsidRPr="00B91524">
        <w:t xml:space="preserve">. These are located 2.3 nm </w:t>
      </w:r>
      <w:r w:rsidR="00B6625D" w:rsidRPr="00B91524">
        <w:t>s</w:t>
      </w:r>
      <w:r w:rsidRPr="00B91524">
        <w:t xml:space="preserve">outh </w:t>
      </w:r>
      <w:r w:rsidR="00B6625D" w:rsidRPr="00B91524">
        <w:t>w</w:t>
      </w:r>
      <w:r w:rsidRPr="00B91524">
        <w:t xml:space="preserve">est, 3.3 nm </w:t>
      </w:r>
      <w:r w:rsidR="00B6625D" w:rsidRPr="00B91524">
        <w:t>w</w:t>
      </w:r>
      <w:r w:rsidRPr="00B91524">
        <w:t xml:space="preserve">est and 2.7 nm </w:t>
      </w:r>
      <w:r w:rsidR="00B6625D" w:rsidRPr="00B91524">
        <w:t>e</w:t>
      </w:r>
      <w:r w:rsidRPr="00B91524">
        <w:t xml:space="preserve">ast of SOWF, respectively. </w:t>
      </w:r>
    </w:p>
    <w:p w14:paraId="51C3C838" w14:textId="385BB5BD" w:rsidR="00841CB7" w:rsidRPr="00B91524" w:rsidRDefault="00841CB7" w:rsidP="007908D8">
      <w:pPr>
        <w:pStyle w:val="Reportbodytextnumbering"/>
      </w:pPr>
      <w:r w:rsidRPr="00B91524">
        <w:t xml:space="preserve">The project </w:t>
      </w:r>
      <w:r w:rsidR="00084637" w:rsidRPr="00B91524">
        <w:t xml:space="preserve">array </w:t>
      </w:r>
      <w:r w:rsidRPr="00B91524">
        <w:t>layout shown in</w:t>
      </w:r>
      <w:r w:rsidR="00D300AA" w:rsidRPr="00B91524">
        <w:t xml:space="preserve"> </w:t>
      </w:r>
      <w:r w:rsidR="00D300AA" w:rsidRPr="00B91524">
        <w:fldChar w:fldCharType="begin"/>
      </w:r>
      <w:r w:rsidR="00D300AA" w:rsidRPr="00B91524">
        <w:instrText xml:space="preserve"> REF _Ref61594645 \h </w:instrText>
      </w:r>
      <w:r w:rsidR="00D300AA" w:rsidRPr="00B91524">
        <w:fldChar w:fldCharType="separate"/>
      </w:r>
      <w:r w:rsidR="00683595" w:rsidRPr="00B91524">
        <w:t xml:space="preserve">Figure </w:t>
      </w:r>
      <w:r w:rsidR="00683595">
        <w:rPr>
          <w:noProof/>
        </w:rPr>
        <w:t>2</w:t>
      </w:r>
      <w:r w:rsidR="00683595" w:rsidRPr="00B91524">
        <w:noBreakHyphen/>
      </w:r>
      <w:r w:rsidR="00683595">
        <w:rPr>
          <w:noProof/>
        </w:rPr>
        <w:t>1</w:t>
      </w:r>
      <w:r w:rsidR="00D300AA" w:rsidRPr="00B91524">
        <w:fldChar w:fldCharType="end"/>
      </w:r>
      <w:r w:rsidRPr="00B91524">
        <w:t xml:space="preserve">  </w:t>
      </w:r>
      <w:r w:rsidR="00D46238" w:rsidRPr="00B91524">
        <w:t xml:space="preserve">comprising 100 wind turbines </w:t>
      </w:r>
      <w:r w:rsidRPr="00B91524">
        <w:t>has been approved by the Maritime and Coastguard Agency</w:t>
      </w:r>
      <w:r w:rsidR="00084637" w:rsidRPr="00B91524">
        <w:t xml:space="preserve"> and Trinity House</w:t>
      </w:r>
      <w:r w:rsidRPr="00B91524">
        <w:t xml:space="preserve">. </w:t>
      </w:r>
    </w:p>
    <w:p w14:paraId="5EE4E3A2" w14:textId="77777777" w:rsidR="00841CB7" w:rsidRPr="00B91524" w:rsidRDefault="00841CB7" w:rsidP="007908D8">
      <w:pPr>
        <w:pStyle w:val="Reportbodytextnumbering"/>
        <w:numPr>
          <w:ilvl w:val="0"/>
          <w:numId w:val="0"/>
        </w:numPr>
        <w:ind w:left="710"/>
        <w:rPr>
          <w:noProof/>
        </w:rPr>
      </w:pPr>
      <w:r w:rsidRPr="00B91524">
        <w:rPr>
          <w:noProof/>
        </w:rPr>
        <w:drawing>
          <wp:anchor distT="0" distB="0" distL="114300" distR="114300" simplePos="0" relativeHeight="251701759" behindDoc="0" locked="0" layoutInCell="1" allowOverlap="1" wp14:anchorId="0287AB49" wp14:editId="29C2C339">
            <wp:simplePos x="0" y="0"/>
            <wp:positionH relativeFrom="margin">
              <wp:align>right</wp:align>
            </wp:positionH>
            <wp:positionV relativeFrom="paragraph">
              <wp:posOffset>2540</wp:posOffset>
            </wp:positionV>
            <wp:extent cx="5791771" cy="3990975"/>
            <wp:effectExtent l="0" t="0" r="0" b="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r="820" b="3441"/>
                    <a:stretch/>
                  </pic:blipFill>
                  <pic:spPr bwMode="auto">
                    <a:xfrm>
                      <a:off x="0" y="0"/>
                      <a:ext cx="5791771" cy="39909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DFDAF26" w14:textId="77777777" w:rsidR="00841CB7" w:rsidRPr="00B91524" w:rsidRDefault="00841CB7" w:rsidP="007908D8">
      <w:pPr>
        <w:pStyle w:val="Reportbodytextnumbering"/>
        <w:numPr>
          <w:ilvl w:val="0"/>
          <w:numId w:val="0"/>
        </w:numPr>
        <w:ind w:left="710"/>
      </w:pPr>
    </w:p>
    <w:p w14:paraId="5834EA7E" w14:textId="77777777" w:rsidR="00841CB7" w:rsidRPr="00B91524" w:rsidRDefault="00841CB7" w:rsidP="007908D8">
      <w:pPr>
        <w:pStyle w:val="Reportbodytextnumbering"/>
        <w:numPr>
          <w:ilvl w:val="0"/>
          <w:numId w:val="0"/>
        </w:numPr>
        <w:ind w:left="710"/>
      </w:pPr>
    </w:p>
    <w:p w14:paraId="0114CBA1" w14:textId="77777777" w:rsidR="00841CB7" w:rsidRPr="00B91524" w:rsidRDefault="00841CB7" w:rsidP="007908D8">
      <w:pPr>
        <w:pStyle w:val="Reportbodytextnumbering"/>
        <w:numPr>
          <w:ilvl w:val="0"/>
          <w:numId w:val="0"/>
        </w:numPr>
        <w:ind w:left="710"/>
      </w:pPr>
    </w:p>
    <w:p w14:paraId="15D48987" w14:textId="77777777" w:rsidR="00841CB7" w:rsidRPr="00B91524" w:rsidRDefault="00841CB7" w:rsidP="007908D8">
      <w:pPr>
        <w:pStyle w:val="Reportbodytextnumbering"/>
        <w:numPr>
          <w:ilvl w:val="0"/>
          <w:numId w:val="0"/>
        </w:numPr>
        <w:ind w:left="710"/>
      </w:pPr>
    </w:p>
    <w:p w14:paraId="15ACAFB4" w14:textId="77777777" w:rsidR="00841CB7" w:rsidRPr="00B91524" w:rsidRDefault="00841CB7" w:rsidP="007908D8">
      <w:pPr>
        <w:pStyle w:val="Reportbodytextnumbering"/>
        <w:numPr>
          <w:ilvl w:val="0"/>
          <w:numId w:val="0"/>
        </w:numPr>
        <w:ind w:left="710"/>
      </w:pPr>
    </w:p>
    <w:p w14:paraId="1CDD3916" w14:textId="77777777" w:rsidR="00841CB7" w:rsidRPr="00B91524" w:rsidRDefault="00841CB7" w:rsidP="007908D8">
      <w:pPr>
        <w:pStyle w:val="Reportbodytextnumbering"/>
        <w:numPr>
          <w:ilvl w:val="0"/>
          <w:numId w:val="0"/>
        </w:numPr>
        <w:ind w:left="710"/>
      </w:pPr>
    </w:p>
    <w:p w14:paraId="6DE3D506" w14:textId="77777777" w:rsidR="00841CB7" w:rsidRPr="00B91524" w:rsidRDefault="00841CB7" w:rsidP="007908D8">
      <w:pPr>
        <w:pStyle w:val="Reportbodytextnumbering"/>
        <w:numPr>
          <w:ilvl w:val="0"/>
          <w:numId w:val="0"/>
        </w:numPr>
        <w:ind w:left="710"/>
      </w:pPr>
    </w:p>
    <w:p w14:paraId="58702913" w14:textId="77777777" w:rsidR="00841CB7" w:rsidRPr="00B91524" w:rsidRDefault="00841CB7" w:rsidP="007908D8">
      <w:pPr>
        <w:pStyle w:val="Reportbodytextnumbering"/>
        <w:numPr>
          <w:ilvl w:val="0"/>
          <w:numId w:val="0"/>
        </w:numPr>
        <w:ind w:left="710"/>
      </w:pPr>
    </w:p>
    <w:p w14:paraId="61E490B2" w14:textId="77777777" w:rsidR="00841CB7" w:rsidRPr="00B91524" w:rsidRDefault="00841CB7" w:rsidP="007908D8">
      <w:pPr>
        <w:pStyle w:val="Reportbodytextnumbering"/>
        <w:numPr>
          <w:ilvl w:val="0"/>
          <w:numId w:val="0"/>
        </w:numPr>
        <w:ind w:left="710"/>
      </w:pPr>
    </w:p>
    <w:p w14:paraId="188FF1DB" w14:textId="77777777" w:rsidR="00841CB7" w:rsidRPr="00B91524" w:rsidRDefault="00841CB7" w:rsidP="007908D8">
      <w:pPr>
        <w:pStyle w:val="Reportbodytextnumbering"/>
        <w:numPr>
          <w:ilvl w:val="0"/>
          <w:numId w:val="0"/>
        </w:numPr>
        <w:ind w:left="710"/>
      </w:pPr>
    </w:p>
    <w:p w14:paraId="653E1554" w14:textId="77777777" w:rsidR="00841CB7" w:rsidRPr="00B91524" w:rsidRDefault="00841CB7" w:rsidP="007908D8">
      <w:pPr>
        <w:pStyle w:val="Reportbodytextnumbering"/>
        <w:numPr>
          <w:ilvl w:val="0"/>
          <w:numId w:val="0"/>
        </w:numPr>
        <w:ind w:left="710"/>
      </w:pPr>
    </w:p>
    <w:p w14:paraId="19C52F41" w14:textId="77777777" w:rsidR="00841CB7" w:rsidRPr="00B91524" w:rsidRDefault="00841CB7" w:rsidP="007908D8">
      <w:pPr>
        <w:pStyle w:val="Reportbodytextnumbering"/>
        <w:numPr>
          <w:ilvl w:val="0"/>
          <w:numId w:val="0"/>
        </w:numPr>
        <w:ind w:left="710"/>
      </w:pPr>
    </w:p>
    <w:p w14:paraId="3CB28E21" w14:textId="77777777" w:rsidR="00841CB7" w:rsidRPr="00B91524" w:rsidRDefault="00841CB7" w:rsidP="00841CB7">
      <w:pPr>
        <w:pStyle w:val="Caption"/>
      </w:pPr>
    </w:p>
    <w:p w14:paraId="290366B3" w14:textId="3A9F117D" w:rsidR="00841CB7" w:rsidRPr="00B91524" w:rsidRDefault="00841CB7" w:rsidP="00841CB7">
      <w:pPr>
        <w:pStyle w:val="Caption"/>
      </w:pPr>
      <w:bookmarkStart w:id="38" w:name="_Ref46056156"/>
      <w:r w:rsidRPr="00B91524">
        <w:t xml:space="preserve">              </w:t>
      </w:r>
      <w:bookmarkStart w:id="39" w:name="_Ref61594645"/>
      <w:bookmarkStart w:id="40" w:name="_Ref48642247"/>
      <w:bookmarkStart w:id="41" w:name="_Toc62048810"/>
      <w:r w:rsidRPr="00B91524">
        <w:t xml:space="preserve">Figure </w:t>
      </w:r>
      <w:r w:rsidR="00683595">
        <w:fldChar w:fldCharType="begin"/>
      </w:r>
      <w:r w:rsidR="00683595">
        <w:instrText xml:space="preserve"> STYLEREF 1 \s </w:instrText>
      </w:r>
      <w:r w:rsidR="00683595">
        <w:fldChar w:fldCharType="separate"/>
      </w:r>
      <w:r w:rsidR="00683595">
        <w:rPr>
          <w:noProof/>
        </w:rPr>
        <w:t>2</w:t>
      </w:r>
      <w:r w:rsidR="00683595">
        <w:rPr>
          <w:noProof/>
        </w:rPr>
        <w:fldChar w:fldCharType="end"/>
      </w:r>
      <w:r w:rsidR="00C82285" w:rsidRPr="00B91524">
        <w:noBreakHyphen/>
      </w:r>
      <w:r w:rsidR="00683595">
        <w:fldChar w:fldCharType="begin"/>
      </w:r>
      <w:r w:rsidR="00683595">
        <w:instrText xml:space="preserve"> SEQ Figure \* ARABIC \s 1 </w:instrText>
      </w:r>
      <w:r w:rsidR="00683595">
        <w:fldChar w:fldCharType="separate"/>
      </w:r>
      <w:r w:rsidR="00683595">
        <w:rPr>
          <w:noProof/>
        </w:rPr>
        <w:t>1</w:t>
      </w:r>
      <w:r w:rsidR="00683595">
        <w:rPr>
          <w:noProof/>
        </w:rPr>
        <w:fldChar w:fldCharType="end"/>
      </w:r>
      <w:bookmarkEnd w:id="38"/>
      <w:bookmarkEnd w:id="39"/>
      <w:bookmarkEnd w:id="40"/>
      <w:r w:rsidRPr="00B91524">
        <w:t xml:space="preserve"> The location and project layout of the Sofia Offshore Wind Farm (SOWF).</w:t>
      </w:r>
      <w:bookmarkEnd w:id="41"/>
      <w:r w:rsidRPr="00B91524">
        <w:t xml:space="preserve"> </w:t>
      </w:r>
    </w:p>
    <w:p w14:paraId="3F881ED2" w14:textId="77777777" w:rsidR="00841CB7" w:rsidRPr="00B91524" w:rsidRDefault="00841CB7" w:rsidP="007908D8">
      <w:pPr>
        <w:pStyle w:val="Reportbodytextnumbering"/>
      </w:pPr>
      <w:bookmarkStart w:id="42" w:name="_Toc9952687"/>
      <w:r w:rsidRPr="00B91524">
        <w:t>SOWF has a generating capacity of up to 1.4 gigawatts (“GW”). The footprint of the layout area is approximately 593 km². Offshore, the DCO (as amended in March 2019) allows for:</w:t>
      </w:r>
    </w:p>
    <w:p w14:paraId="6413386D" w14:textId="77777777" w:rsidR="00841CB7" w:rsidRPr="00B91524" w:rsidRDefault="00841CB7" w:rsidP="00841CB7">
      <w:pPr>
        <w:pStyle w:val="ListParagraph"/>
        <w:widowControl w:val="0"/>
        <w:numPr>
          <w:ilvl w:val="1"/>
          <w:numId w:val="12"/>
        </w:numPr>
        <w:tabs>
          <w:tab w:val="left" w:pos="1276"/>
        </w:tabs>
        <w:spacing w:before="0" w:after="0" w:line="240" w:lineRule="auto"/>
        <w:ind w:left="1276" w:right="771" w:hanging="425"/>
        <w:rPr>
          <w:rFonts w:eastAsia="Calibri Light" w:cstheme="minorHAnsi"/>
          <w:spacing w:val="1"/>
        </w:rPr>
      </w:pPr>
      <w:r w:rsidRPr="00B91524">
        <w:rPr>
          <w:rFonts w:eastAsia="Calibri Light" w:cstheme="minorHAnsi"/>
          <w:spacing w:val="1"/>
        </w:rPr>
        <w:t xml:space="preserve">Offshore wind turbine generating station with a gross electrical output </w:t>
      </w:r>
      <w:r w:rsidRPr="00B91524">
        <w:rPr>
          <w:rFonts w:eastAsia="Calibri Light" w:cstheme="minorHAnsi"/>
          <w:spacing w:val="1"/>
        </w:rPr>
        <w:lastRenderedPageBreak/>
        <w:t>capacity of up to 1.4 gigawatts;</w:t>
      </w:r>
    </w:p>
    <w:p w14:paraId="50689B24" w14:textId="77777777" w:rsidR="00841CB7" w:rsidRPr="00B91524" w:rsidRDefault="00841CB7" w:rsidP="00841CB7">
      <w:pPr>
        <w:pStyle w:val="ListParagraph"/>
        <w:widowControl w:val="0"/>
        <w:numPr>
          <w:ilvl w:val="1"/>
          <w:numId w:val="12"/>
        </w:numPr>
        <w:tabs>
          <w:tab w:val="left" w:pos="1276"/>
        </w:tabs>
        <w:spacing w:before="0" w:after="0" w:line="240" w:lineRule="auto"/>
        <w:ind w:left="1276" w:right="771" w:hanging="425"/>
        <w:rPr>
          <w:rFonts w:eastAsia="Calibri Light" w:cstheme="minorHAnsi"/>
          <w:spacing w:val="1"/>
        </w:rPr>
      </w:pPr>
      <w:r w:rsidRPr="00B91524">
        <w:rPr>
          <w:rFonts w:eastAsia="Calibri Light" w:cstheme="minorHAnsi"/>
          <w:spacing w:val="1"/>
        </w:rPr>
        <w:t xml:space="preserve">Up to 200 wind turbines and supporting tower structures; </w:t>
      </w:r>
    </w:p>
    <w:p w14:paraId="5814A358" w14:textId="77777777" w:rsidR="00841CB7" w:rsidRPr="00B91524" w:rsidRDefault="00841CB7" w:rsidP="00841CB7">
      <w:pPr>
        <w:pStyle w:val="ListParagraph"/>
        <w:widowControl w:val="0"/>
        <w:numPr>
          <w:ilvl w:val="1"/>
          <w:numId w:val="12"/>
        </w:numPr>
        <w:tabs>
          <w:tab w:val="left" w:pos="1276"/>
        </w:tabs>
        <w:spacing w:before="0" w:after="0" w:line="240" w:lineRule="auto"/>
        <w:ind w:left="1276" w:right="771" w:hanging="425"/>
        <w:rPr>
          <w:rFonts w:eastAsia="Calibri Light" w:cstheme="minorHAnsi"/>
          <w:spacing w:val="1"/>
        </w:rPr>
      </w:pPr>
      <w:r w:rsidRPr="00B91524">
        <w:rPr>
          <w:rFonts w:eastAsia="Calibri Light" w:cstheme="minorHAnsi"/>
          <w:spacing w:val="1"/>
        </w:rPr>
        <w:t xml:space="preserve">Wind turbine foundations and associated support and access structures; </w:t>
      </w:r>
    </w:p>
    <w:p w14:paraId="2ACB5D0F" w14:textId="23BCBA75" w:rsidR="00841CB7" w:rsidRPr="00B91524" w:rsidRDefault="00841CB7" w:rsidP="00841CB7">
      <w:pPr>
        <w:pStyle w:val="ListParagraph"/>
        <w:widowControl w:val="0"/>
        <w:numPr>
          <w:ilvl w:val="1"/>
          <w:numId w:val="12"/>
        </w:numPr>
        <w:tabs>
          <w:tab w:val="left" w:pos="1276"/>
        </w:tabs>
        <w:spacing w:before="0" w:after="0" w:line="240" w:lineRule="auto"/>
        <w:ind w:left="1276" w:right="771" w:hanging="425"/>
        <w:rPr>
          <w:rFonts w:eastAsia="Calibri Light" w:cstheme="minorHAnsi"/>
          <w:spacing w:val="1"/>
        </w:rPr>
      </w:pPr>
      <w:r w:rsidRPr="00B91524">
        <w:rPr>
          <w:rFonts w:eastAsia="Calibri Light" w:cstheme="minorHAnsi"/>
          <w:spacing w:val="1"/>
        </w:rPr>
        <w:t>One offshore converter platform</w:t>
      </w:r>
      <w:r w:rsidR="00D46238" w:rsidRPr="00B91524">
        <w:rPr>
          <w:rFonts w:eastAsia="Calibri Light" w:cstheme="minorHAnsi"/>
          <w:spacing w:val="1"/>
        </w:rPr>
        <w:t xml:space="preserve"> (OCP)</w:t>
      </w:r>
      <w:r w:rsidRPr="00B91524">
        <w:rPr>
          <w:rFonts w:eastAsia="Calibri Light" w:cstheme="minorHAnsi"/>
          <w:spacing w:val="1"/>
        </w:rPr>
        <w:t xml:space="preserve">, and associated foundations; </w:t>
      </w:r>
    </w:p>
    <w:p w14:paraId="56BDC61D" w14:textId="77777777" w:rsidR="00841CB7" w:rsidRPr="00B91524" w:rsidRDefault="00841CB7" w:rsidP="00841CB7">
      <w:pPr>
        <w:pStyle w:val="ListParagraph"/>
        <w:widowControl w:val="0"/>
        <w:numPr>
          <w:ilvl w:val="1"/>
          <w:numId w:val="12"/>
        </w:numPr>
        <w:tabs>
          <w:tab w:val="left" w:pos="1276"/>
        </w:tabs>
        <w:spacing w:before="0" w:after="0" w:line="240" w:lineRule="auto"/>
        <w:ind w:left="1276" w:right="771" w:hanging="425"/>
        <w:rPr>
          <w:rFonts w:eastAsia="Calibri Light" w:cstheme="minorHAnsi"/>
          <w:spacing w:val="1"/>
        </w:rPr>
      </w:pPr>
      <w:r w:rsidRPr="00B91524">
        <w:rPr>
          <w:rFonts w:eastAsia="Calibri Light" w:cstheme="minorHAnsi"/>
          <w:spacing w:val="1"/>
        </w:rPr>
        <w:t xml:space="preserve">Up to four offshore collector platforms, and associated foundations*; </w:t>
      </w:r>
    </w:p>
    <w:p w14:paraId="4966332E" w14:textId="77777777" w:rsidR="00841CB7" w:rsidRPr="00B91524" w:rsidRDefault="00841CB7" w:rsidP="00841CB7">
      <w:pPr>
        <w:pStyle w:val="ListParagraph"/>
        <w:widowControl w:val="0"/>
        <w:numPr>
          <w:ilvl w:val="1"/>
          <w:numId w:val="12"/>
        </w:numPr>
        <w:tabs>
          <w:tab w:val="left" w:pos="1276"/>
        </w:tabs>
        <w:spacing w:before="0" w:after="0" w:line="240" w:lineRule="auto"/>
        <w:ind w:left="1276" w:right="771" w:hanging="425"/>
        <w:rPr>
          <w:rFonts w:eastAsia="Calibri Light" w:cstheme="minorHAnsi"/>
          <w:spacing w:val="1"/>
        </w:rPr>
      </w:pPr>
      <w:r w:rsidRPr="00B91524">
        <w:rPr>
          <w:rFonts w:eastAsia="Calibri Light" w:cstheme="minorHAnsi"/>
          <w:spacing w:val="1"/>
        </w:rPr>
        <w:t xml:space="preserve">Up to two offshore accommodation or helicopter platform(s) for operations and maintenance activities, and associated foundations*; </w:t>
      </w:r>
    </w:p>
    <w:p w14:paraId="70C65415" w14:textId="77777777" w:rsidR="00841CB7" w:rsidRPr="00B91524" w:rsidRDefault="00841CB7" w:rsidP="00841CB7">
      <w:pPr>
        <w:pStyle w:val="ListParagraph"/>
        <w:widowControl w:val="0"/>
        <w:numPr>
          <w:ilvl w:val="1"/>
          <w:numId w:val="12"/>
        </w:numPr>
        <w:tabs>
          <w:tab w:val="left" w:pos="1276"/>
        </w:tabs>
        <w:spacing w:before="0" w:after="0" w:line="240" w:lineRule="auto"/>
        <w:ind w:left="1276" w:right="771" w:hanging="425"/>
        <w:rPr>
          <w:rFonts w:eastAsia="Calibri Light" w:cstheme="minorHAnsi"/>
          <w:spacing w:val="1"/>
        </w:rPr>
      </w:pPr>
      <w:r w:rsidRPr="00B91524">
        <w:rPr>
          <w:rFonts w:eastAsia="Calibri Light" w:cstheme="minorHAnsi"/>
          <w:spacing w:val="1"/>
        </w:rPr>
        <w:t xml:space="preserve">Subsea inter-array cables between the wind turbines; between wind turbines and offshore collector platforms; between wind turbines and offshore converter platform; linking to meteorological stations and accommodation platforms**; </w:t>
      </w:r>
    </w:p>
    <w:p w14:paraId="0394AACF" w14:textId="77777777" w:rsidR="00841CB7" w:rsidRPr="00B91524" w:rsidRDefault="00841CB7" w:rsidP="00841CB7">
      <w:pPr>
        <w:pStyle w:val="ListParagraph"/>
        <w:widowControl w:val="0"/>
        <w:numPr>
          <w:ilvl w:val="1"/>
          <w:numId w:val="12"/>
        </w:numPr>
        <w:tabs>
          <w:tab w:val="left" w:pos="1276"/>
        </w:tabs>
        <w:spacing w:before="0" w:after="0" w:line="240" w:lineRule="auto"/>
        <w:ind w:left="1276" w:right="771" w:hanging="425"/>
        <w:rPr>
          <w:rFonts w:eastAsia="Calibri Light" w:cstheme="minorHAnsi"/>
          <w:spacing w:val="1"/>
        </w:rPr>
      </w:pPr>
      <w:r w:rsidRPr="00B91524">
        <w:rPr>
          <w:rFonts w:eastAsia="Calibri Light" w:cstheme="minorHAnsi"/>
          <w:spacing w:val="1"/>
        </w:rPr>
        <w:t xml:space="preserve">Subsea inter-platform cables: between offshore collector platforms; between offshore collector platforms and the High Voltage Direct Current (HVDC) offshore converter platform**. </w:t>
      </w:r>
    </w:p>
    <w:p w14:paraId="7969805E" w14:textId="77777777" w:rsidR="00841CB7" w:rsidRPr="00B91524" w:rsidRDefault="00841CB7" w:rsidP="00841CB7">
      <w:pPr>
        <w:pStyle w:val="ListParagraph"/>
        <w:widowControl w:val="0"/>
        <w:numPr>
          <w:ilvl w:val="1"/>
          <w:numId w:val="12"/>
        </w:numPr>
        <w:tabs>
          <w:tab w:val="left" w:pos="1276"/>
        </w:tabs>
        <w:spacing w:before="0" w:after="0" w:line="240" w:lineRule="auto"/>
        <w:ind w:left="1276" w:right="771" w:hanging="425"/>
        <w:rPr>
          <w:rFonts w:eastAsia="Calibri Light" w:cstheme="minorHAnsi"/>
          <w:spacing w:val="1"/>
        </w:rPr>
      </w:pPr>
      <w:r w:rsidRPr="00B91524">
        <w:rPr>
          <w:rFonts w:eastAsia="Calibri Light" w:cstheme="minorHAnsi"/>
          <w:spacing w:val="1"/>
        </w:rPr>
        <w:t xml:space="preserve">Offshore export cable systems, carrying power from the offshore HVDC converter platform to the landfall(s); </w:t>
      </w:r>
    </w:p>
    <w:p w14:paraId="5F6E86B0" w14:textId="77777777" w:rsidR="00841CB7" w:rsidRPr="00B91524" w:rsidRDefault="00841CB7" w:rsidP="00841CB7">
      <w:pPr>
        <w:pStyle w:val="ListParagraph"/>
        <w:widowControl w:val="0"/>
        <w:numPr>
          <w:ilvl w:val="1"/>
          <w:numId w:val="12"/>
        </w:numPr>
        <w:tabs>
          <w:tab w:val="left" w:pos="1276"/>
        </w:tabs>
        <w:spacing w:before="0" w:after="0" w:line="240" w:lineRule="auto"/>
        <w:ind w:left="1276" w:right="771" w:hanging="425"/>
        <w:rPr>
          <w:rFonts w:eastAsia="Calibri Light" w:cstheme="minorHAnsi"/>
          <w:spacing w:val="1"/>
        </w:rPr>
      </w:pPr>
      <w:r w:rsidRPr="00B91524">
        <w:rPr>
          <w:rFonts w:eastAsia="Calibri Light" w:cstheme="minorHAnsi"/>
          <w:spacing w:val="1"/>
        </w:rPr>
        <w:t xml:space="preserve">Crossing structures at the points where project cables cross existing subsea cables and pipelines or other Dogger Bank project cables; </w:t>
      </w:r>
    </w:p>
    <w:p w14:paraId="2E32078C" w14:textId="77777777" w:rsidR="00841CB7" w:rsidRPr="00B91524" w:rsidRDefault="00841CB7" w:rsidP="00841CB7">
      <w:pPr>
        <w:pStyle w:val="ListParagraph"/>
        <w:widowControl w:val="0"/>
        <w:numPr>
          <w:ilvl w:val="1"/>
          <w:numId w:val="12"/>
        </w:numPr>
        <w:tabs>
          <w:tab w:val="left" w:pos="1276"/>
        </w:tabs>
        <w:spacing w:before="0" w:after="0" w:line="240" w:lineRule="auto"/>
        <w:ind w:left="1276" w:right="771" w:hanging="425"/>
        <w:rPr>
          <w:rFonts w:eastAsia="Calibri Light" w:cstheme="minorHAnsi"/>
          <w:spacing w:val="1"/>
        </w:rPr>
      </w:pPr>
      <w:r w:rsidRPr="00B91524">
        <w:rPr>
          <w:rFonts w:eastAsia="Calibri Light" w:cstheme="minorHAnsi"/>
          <w:spacing w:val="1"/>
        </w:rPr>
        <w:t>Up to five offshore meteorological monitoring stations. This is in addition to the two meteorological stations which were subject to an earlier and separate consent application and installed in 2013;</w:t>
      </w:r>
    </w:p>
    <w:p w14:paraId="50585821" w14:textId="77777777" w:rsidR="00841CB7" w:rsidRPr="00B91524" w:rsidRDefault="00841CB7" w:rsidP="00841CB7">
      <w:pPr>
        <w:pStyle w:val="ListParagraph"/>
        <w:widowControl w:val="0"/>
        <w:numPr>
          <w:ilvl w:val="1"/>
          <w:numId w:val="12"/>
        </w:numPr>
        <w:tabs>
          <w:tab w:val="left" w:pos="1276"/>
        </w:tabs>
        <w:spacing w:before="0" w:after="0" w:line="240" w:lineRule="auto"/>
        <w:ind w:left="1276" w:right="771" w:hanging="425"/>
        <w:rPr>
          <w:rFonts w:eastAsia="Calibri Light" w:cstheme="minorHAnsi"/>
          <w:spacing w:val="1"/>
        </w:rPr>
      </w:pPr>
      <w:r w:rsidRPr="00B91524">
        <w:rPr>
          <w:rFonts w:eastAsia="Calibri Light" w:cstheme="minorHAnsi"/>
          <w:spacing w:val="1"/>
        </w:rPr>
        <w:t xml:space="preserve">Protection against scour and subsea foundation damage; </w:t>
      </w:r>
    </w:p>
    <w:p w14:paraId="6839D4C2" w14:textId="77777777" w:rsidR="00841CB7" w:rsidRPr="00B91524" w:rsidRDefault="00841CB7" w:rsidP="00841CB7">
      <w:pPr>
        <w:pStyle w:val="ListParagraph"/>
        <w:widowControl w:val="0"/>
        <w:numPr>
          <w:ilvl w:val="1"/>
          <w:numId w:val="12"/>
        </w:numPr>
        <w:tabs>
          <w:tab w:val="left" w:pos="1276"/>
        </w:tabs>
        <w:spacing w:before="0" w:after="0" w:line="240" w:lineRule="auto"/>
        <w:ind w:left="1276" w:right="771" w:hanging="425"/>
        <w:rPr>
          <w:rFonts w:eastAsia="Calibri Light" w:cstheme="minorHAnsi"/>
          <w:spacing w:val="1"/>
        </w:rPr>
      </w:pPr>
      <w:r w:rsidRPr="00B91524">
        <w:rPr>
          <w:rFonts w:eastAsia="Calibri Light" w:cstheme="minorHAnsi"/>
          <w:spacing w:val="1"/>
        </w:rPr>
        <w:t>Seabed preparation measures;</w:t>
      </w:r>
    </w:p>
    <w:p w14:paraId="0DA41077" w14:textId="77777777" w:rsidR="00841CB7" w:rsidRPr="00B91524" w:rsidRDefault="00841CB7" w:rsidP="00841CB7">
      <w:pPr>
        <w:pStyle w:val="ListParagraph"/>
        <w:widowControl w:val="0"/>
        <w:numPr>
          <w:ilvl w:val="1"/>
          <w:numId w:val="12"/>
        </w:numPr>
        <w:tabs>
          <w:tab w:val="left" w:pos="1276"/>
        </w:tabs>
        <w:spacing w:before="0" w:after="0" w:line="240" w:lineRule="auto"/>
        <w:ind w:left="1276" w:right="771" w:hanging="425"/>
        <w:rPr>
          <w:rFonts w:eastAsia="Calibri Light" w:cstheme="minorHAnsi"/>
          <w:spacing w:val="1"/>
        </w:rPr>
      </w:pPr>
      <w:r w:rsidRPr="00B91524">
        <w:rPr>
          <w:rFonts w:eastAsia="Calibri Light" w:cstheme="minorHAnsi"/>
          <w:spacing w:val="1"/>
        </w:rPr>
        <w:t xml:space="preserve">Cable protection measures; and </w:t>
      </w:r>
    </w:p>
    <w:p w14:paraId="6A184D9D" w14:textId="77777777" w:rsidR="00841CB7" w:rsidRPr="00B91524" w:rsidRDefault="00841CB7" w:rsidP="00841CB7">
      <w:pPr>
        <w:pStyle w:val="ListParagraph"/>
        <w:widowControl w:val="0"/>
        <w:numPr>
          <w:ilvl w:val="1"/>
          <w:numId w:val="12"/>
        </w:numPr>
        <w:tabs>
          <w:tab w:val="left" w:pos="1276"/>
        </w:tabs>
        <w:spacing w:before="0" w:after="0" w:line="240" w:lineRule="auto"/>
        <w:ind w:left="1276" w:right="771" w:hanging="425"/>
        <w:rPr>
          <w:rFonts w:eastAsia="Calibri Light" w:cstheme="minorHAnsi"/>
          <w:spacing w:val="1"/>
        </w:rPr>
      </w:pPr>
      <w:r w:rsidRPr="00B91524">
        <w:rPr>
          <w:rFonts w:eastAsia="Calibri Light" w:cstheme="minorHAnsi"/>
          <w:spacing w:val="1"/>
        </w:rPr>
        <w:t xml:space="preserve">Up to ten vessel mooring buoys. </w:t>
      </w:r>
    </w:p>
    <w:p w14:paraId="41667C91" w14:textId="77777777" w:rsidR="00841CB7" w:rsidRPr="00B91524" w:rsidRDefault="00841CB7" w:rsidP="00841CB7">
      <w:pPr>
        <w:pStyle w:val="ListParagraph"/>
        <w:tabs>
          <w:tab w:val="left" w:pos="567"/>
        </w:tabs>
        <w:spacing w:after="0" w:line="240" w:lineRule="auto"/>
        <w:ind w:left="567" w:right="771"/>
        <w:rPr>
          <w:rFonts w:eastAsia="Calibri Light" w:cstheme="minorHAnsi"/>
          <w:spacing w:val="1"/>
          <w:sz w:val="21"/>
          <w:szCs w:val="21"/>
        </w:rPr>
      </w:pPr>
    </w:p>
    <w:p w14:paraId="13C59C2C" w14:textId="3829158A" w:rsidR="00841CB7" w:rsidRPr="00B91524" w:rsidRDefault="00841CB7" w:rsidP="00841CB7">
      <w:pPr>
        <w:pStyle w:val="ListParagraph"/>
        <w:tabs>
          <w:tab w:val="left" w:pos="851"/>
        </w:tabs>
        <w:spacing w:after="0" w:line="240" w:lineRule="auto"/>
        <w:ind w:left="851" w:right="771"/>
        <w:rPr>
          <w:rFonts w:eastAsia="Calibri Light" w:cstheme="minorHAnsi"/>
          <w:spacing w:val="1"/>
          <w:sz w:val="21"/>
          <w:szCs w:val="21"/>
        </w:rPr>
      </w:pPr>
      <w:r w:rsidRPr="00B91524">
        <w:rPr>
          <w:rFonts w:eastAsia="Calibri Light" w:cstheme="minorHAnsi"/>
          <w:spacing w:val="1"/>
          <w:sz w:val="21"/>
          <w:szCs w:val="21"/>
        </w:rPr>
        <w:t>*</w:t>
      </w:r>
      <w:r w:rsidRPr="00B91524">
        <w:rPr>
          <w:rFonts w:eastAsia="Calibri Light" w:cstheme="minorHAnsi"/>
          <w:spacing w:val="1"/>
          <w:sz w:val="21"/>
          <w:szCs w:val="21"/>
        </w:rPr>
        <w:tab/>
        <w:t xml:space="preserve">Since the project was consented, the detailed design has been ongoing and the project currently comprises one HVDC OCP. There will be no offshore collector platforms, offshore accommodation or helicopter platform platforms, and no meteorological masts. </w:t>
      </w:r>
    </w:p>
    <w:p w14:paraId="1F050121" w14:textId="77777777" w:rsidR="00841CB7" w:rsidRPr="00B91524" w:rsidRDefault="00841CB7" w:rsidP="00841CB7">
      <w:pPr>
        <w:pStyle w:val="ListParagraph"/>
        <w:tabs>
          <w:tab w:val="left" w:pos="851"/>
        </w:tabs>
        <w:spacing w:after="0" w:line="240" w:lineRule="auto"/>
        <w:ind w:left="851" w:right="771"/>
        <w:rPr>
          <w:rFonts w:eastAsia="Calibri Light" w:cstheme="minorHAnsi"/>
          <w:spacing w:val="1"/>
          <w:sz w:val="21"/>
          <w:szCs w:val="21"/>
        </w:rPr>
      </w:pPr>
    </w:p>
    <w:p w14:paraId="1E090ADC" w14:textId="77777777" w:rsidR="00841CB7" w:rsidRPr="00B91524" w:rsidRDefault="00841CB7" w:rsidP="00841CB7">
      <w:pPr>
        <w:pStyle w:val="ListParagraph"/>
        <w:tabs>
          <w:tab w:val="left" w:pos="851"/>
        </w:tabs>
        <w:spacing w:after="0" w:line="240" w:lineRule="auto"/>
        <w:ind w:left="851" w:right="771"/>
        <w:rPr>
          <w:rFonts w:eastAsia="Calibri Light" w:cstheme="minorHAnsi"/>
          <w:spacing w:val="1"/>
          <w:sz w:val="21"/>
          <w:szCs w:val="21"/>
        </w:rPr>
      </w:pPr>
      <w:r w:rsidRPr="00B91524">
        <w:rPr>
          <w:rFonts w:eastAsia="Calibri Light" w:cstheme="minorHAnsi"/>
          <w:spacing w:val="1"/>
          <w:sz w:val="21"/>
          <w:szCs w:val="21"/>
        </w:rPr>
        <w:t xml:space="preserve">** The wind turbine generators will connect to each other and then directly, via the HVAC (High Voltage Alternating Current) subsea array cables, to the HVDC offshore converter platform. </w:t>
      </w:r>
    </w:p>
    <w:p w14:paraId="5BF2526B" w14:textId="77777777" w:rsidR="00841CB7" w:rsidRPr="00B91524" w:rsidRDefault="00841CB7" w:rsidP="00841CB7">
      <w:pPr>
        <w:pStyle w:val="ListParagraph"/>
        <w:tabs>
          <w:tab w:val="left" w:pos="567"/>
        </w:tabs>
        <w:spacing w:after="0" w:line="240" w:lineRule="auto"/>
        <w:ind w:left="567" w:right="301"/>
        <w:rPr>
          <w:rFonts w:eastAsia="Calibri Light" w:cstheme="minorHAnsi"/>
          <w:spacing w:val="1"/>
          <w:sz w:val="21"/>
          <w:szCs w:val="21"/>
        </w:rPr>
      </w:pPr>
    </w:p>
    <w:p w14:paraId="39E5464C" w14:textId="77777777" w:rsidR="007908D8" w:rsidRPr="00B91524" w:rsidRDefault="007908D8" w:rsidP="007908D8">
      <w:pPr>
        <w:pStyle w:val="Heading2"/>
        <w:ind w:left="851" w:hanging="851"/>
        <w:rPr>
          <w:rStyle w:val="Emphasis"/>
          <w:i w:val="0"/>
          <w:iCs w:val="0"/>
          <w:lang w:val="en-GB"/>
        </w:rPr>
      </w:pPr>
      <w:bookmarkStart w:id="43" w:name="_Toc13672126"/>
      <w:bookmarkStart w:id="44" w:name="_Toc13674120"/>
      <w:bookmarkStart w:id="45" w:name="_Toc36720298"/>
      <w:bookmarkStart w:id="46" w:name="_Toc38960884"/>
      <w:bookmarkStart w:id="47" w:name="_Toc74670319"/>
      <w:bookmarkEnd w:id="42"/>
      <w:r w:rsidRPr="00B91524">
        <w:rPr>
          <w:rStyle w:val="Emphasis"/>
          <w:i w:val="0"/>
          <w:iCs w:val="0"/>
          <w:lang w:val="en-GB"/>
        </w:rPr>
        <w:t>Ownership of generation and transmission assets</w:t>
      </w:r>
      <w:bookmarkEnd w:id="43"/>
      <w:bookmarkEnd w:id="44"/>
      <w:bookmarkEnd w:id="45"/>
      <w:bookmarkEnd w:id="46"/>
      <w:bookmarkEnd w:id="47"/>
    </w:p>
    <w:p w14:paraId="5E6B6C2D" w14:textId="77777777" w:rsidR="00841CB7" w:rsidRPr="00B91524" w:rsidRDefault="00841CB7" w:rsidP="007908D8">
      <w:pPr>
        <w:pStyle w:val="Reportbodytextnumbering"/>
      </w:pPr>
      <w:r w:rsidRPr="00B91524">
        <w:t>SOWFL will consent, design, procure, construct and commission the offshore generation system and the transmission system. Following commissioning, SOWFL (the Wind Farm Operator (“WFO”)) will transfer the assets to a licensed Offshore Transmission Owner (“OFTO”). SOWFL will retain ownership of the offshore generation system.</w:t>
      </w:r>
    </w:p>
    <w:p w14:paraId="5A21E6B1" w14:textId="77777777" w:rsidR="00841CB7" w:rsidRPr="00B91524" w:rsidRDefault="00841CB7" w:rsidP="007908D8">
      <w:pPr>
        <w:pStyle w:val="Reportbodytextnumbering"/>
      </w:pPr>
      <w:r w:rsidRPr="00B91524">
        <w:t xml:space="preserve">The offshore boundary of ownership between SOWFL and the OFTO occurs at the high-voltage and low-voltage interface between the generation system and the transmission system and is known as the Grid Entry Point (“GEP”). </w:t>
      </w:r>
    </w:p>
    <w:p w14:paraId="619C072A" w14:textId="56EDAE59" w:rsidR="00841CB7" w:rsidRPr="00B91524" w:rsidRDefault="006B6B93" w:rsidP="007908D8">
      <w:pPr>
        <w:pStyle w:val="Reportbodytextnumbering"/>
      </w:pPr>
      <w:r w:rsidRPr="00B91524">
        <w:fldChar w:fldCharType="begin"/>
      </w:r>
      <w:r w:rsidRPr="00B91524">
        <w:instrText xml:space="preserve"> REF _Ref48641534 \h </w:instrText>
      </w:r>
      <w:r w:rsidR="00A5411B" w:rsidRPr="00B91524">
        <w:instrText xml:space="preserve"> \* MERGEFORMAT </w:instrText>
      </w:r>
      <w:r w:rsidRPr="00B91524">
        <w:fldChar w:fldCharType="separate"/>
      </w:r>
      <w:r w:rsidR="00683595" w:rsidRPr="00B91524">
        <w:t xml:space="preserve">Table </w:t>
      </w:r>
      <w:r w:rsidR="00683595">
        <w:rPr>
          <w:noProof/>
        </w:rPr>
        <w:t>2</w:t>
      </w:r>
      <w:r w:rsidR="00683595" w:rsidRPr="00B91524">
        <w:rPr>
          <w:noProof/>
        </w:rPr>
        <w:noBreakHyphen/>
      </w:r>
      <w:r w:rsidR="00683595">
        <w:rPr>
          <w:noProof/>
        </w:rPr>
        <w:t>1</w:t>
      </w:r>
      <w:r w:rsidRPr="00B91524">
        <w:fldChar w:fldCharType="end"/>
      </w:r>
      <w:r w:rsidRPr="00B91524">
        <w:t xml:space="preserve"> </w:t>
      </w:r>
      <w:r w:rsidR="00841CB7" w:rsidRPr="00B91524">
        <w:t xml:space="preserve">and </w:t>
      </w:r>
      <w:r w:rsidRPr="00B91524">
        <w:fldChar w:fldCharType="begin"/>
      </w:r>
      <w:r w:rsidRPr="00B91524">
        <w:instrText xml:space="preserve"> REF _Ref9952238 \h </w:instrText>
      </w:r>
      <w:r w:rsidR="00A5411B" w:rsidRPr="00B91524">
        <w:instrText xml:space="preserve"> \* MERGEFORMAT </w:instrText>
      </w:r>
      <w:r w:rsidRPr="00B91524">
        <w:fldChar w:fldCharType="separate"/>
      </w:r>
      <w:r w:rsidR="00683595" w:rsidRPr="00B91524">
        <w:rPr>
          <w:rFonts w:cstheme="minorHAnsi"/>
        </w:rPr>
        <w:t xml:space="preserve">Figure </w:t>
      </w:r>
      <w:r w:rsidR="00683595">
        <w:rPr>
          <w:rFonts w:cstheme="minorHAnsi"/>
          <w:noProof/>
        </w:rPr>
        <w:t>2</w:t>
      </w:r>
      <w:r w:rsidR="00683595" w:rsidRPr="00B91524">
        <w:rPr>
          <w:rFonts w:cstheme="minorHAnsi"/>
          <w:noProof/>
        </w:rPr>
        <w:noBreakHyphen/>
      </w:r>
      <w:r w:rsidR="00683595">
        <w:rPr>
          <w:rFonts w:cstheme="minorHAnsi"/>
          <w:noProof/>
        </w:rPr>
        <w:t>2</w:t>
      </w:r>
      <w:r w:rsidRPr="00B91524">
        <w:fldChar w:fldCharType="end"/>
      </w:r>
      <w:r w:rsidR="00841CB7" w:rsidRPr="00B91524">
        <w:t xml:space="preserve"> shows the breakdown in asset ownership and boundary locations between the generation system and the transmission system.</w:t>
      </w:r>
    </w:p>
    <w:p w14:paraId="39CBC18E" w14:textId="075509A5" w:rsidR="00841CB7" w:rsidRPr="00B91524" w:rsidRDefault="006B6B93" w:rsidP="006B6B93">
      <w:pPr>
        <w:pStyle w:val="Caption"/>
      </w:pPr>
      <w:bookmarkStart w:id="48" w:name="_Ref48641534"/>
      <w:bookmarkStart w:id="49" w:name="_Toc9955013"/>
      <w:bookmarkStart w:id="50" w:name="_Toc13674324"/>
      <w:bookmarkStart w:id="51" w:name="_Toc61597204"/>
      <w:r w:rsidRPr="00B91524">
        <w:lastRenderedPageBreak/>
        <w:t xml:space="preserve">Table </w:t>
      </w:r>
      <w:r w:rsidR="00683595">
        <w:fldChar w:fldCharType="begin"/>
      </w:r>
      <w:r w:rsidR="00683595">
        <w:instrText xml:space="preserve"> STYLEREF 1 \s </w:instrText>
      </w:r>
      <w:r w:rsidR="00683595">
        <w:fldChar w:fldCharType="separate"/>
      </w:r>
      <w:r w:rsidR="00683595">
        <w:rPr>
          <w:noProof/>
        </w:rPr>
        <w:t>2</w:t>
      </w:r>
      <w:r w:rsidR="00683595">
        <w:rPr>
          <w:noProof/>
        </w:rPr>
        <w:fldChar w:fldCharType="end"/>
      </w:r>
      <w:r w:rsidR="00C82285" w:rsidRPr="00B91524">
        <w:noBreakHyphen/>
      </w:r>
      <w:r w:rsidR="00683595">
        <w:fldChar w:fldCharType="begin"/>
      </w:r>
      <w:r w:rsidR="00683595">
        <w:instrText xml:space="preserve"> SEQ Table \* ARABIC \s 1 </w:instrText>
      </w:r>
      <w:r w:rsidR="00683595">
        <w:fldChar w:fldCharType="separate"/>
      </w:r>
      <w:r w:rsidR="00683595">
        <w:rPr>
          <w:noProof/>
        </w:rPr>
        <w:t>1</w:t>
      </w:r>
      <w:r w:rsidR="00683595">
        <w:rPr>
          <w:noProof/>
        </w:rPr>
        <w:fldChar w:fldCharType="end"/>
      </w:r>
      <w:bookmarkEnd w:id="48"/>
      <w:r w:rsidR="00841CB7" w:rsidRPr="00B91524">
        <w:t xml:space="preserve"> Asset ownership of the Wind Farm Operator and Offshore Transmission Owner.</w:t>
      </w:r>
      <w:bookmarkEnd w:id="49"/>
      <w:bookmarkEnd w:id="50"/>
      <w:bookmarkEnd w:id="51"/>
    </w:p>
    <w:tbl>
      <w:tblPr>
        <w:tblStyle w:val="LightGrid"/>
        <w:tblW w:w="4664" w:type="pct"/>
        <w:tblLook w:val="04A0" w:firstRow="1" w:lastRow="0" w:firstColumn="1" w:lastColumn="0" w:noHBand="0" w:noVBand="1"/>
      </w:tblPr>
      <w:tblGrid>
        <w:gridCol w:w="3856"/>
        <w:gridCol w:w="4563"/>
      </w:tblGrid>
      <w:tr w:rsidR="00841CB7" w:rsidRPr="00B91524" w14:paraId="69CB3355" w14:textId="77777777" w:rsidTr="00A921B1">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290" w:type="pct"/>
            <w:tcBorders>
              <w:bottom w:val="nil"/>
            </w:tcBorders>
          </w:tcPr>
          <w:p w14:paraId="58CD429F" w14:textId="77777777" w:rsidR="00841CB7" w:rsidRPr="00B91524" w:rsidRDefault="00841CB7" w:rsidP="00A921B1">
            <w:pPr>
              <w:autoSpaceDE w:val="0"/>
              <w:autoSpaceDN w:val="0"/>
              <w:jc w:val="center"/>
              <w:rPr>
                <w:rFonts w:cstheme="minorHAnsi"/>
                <w:sz w:val="20"/>
                <w:lang w:val="de-DE" w:eastAsia="de-DE"/>
              </w:rPr>
            </w:pPr>
            <w:r w:rsidRPr="00B91524">
              <w:rPr>
                <w:rFonts w:cstheme="minorHAnsi"/>
                <w:sz w:val="20"/>
                <w:lang w:val="de-DE"/>
              </w:rPr>
              <w:t>Non OFTO (Generation)</w:t>
            </w:r>
          </w:p>
        </w:tc>
        <w:tc>
          <w:tcPr>
            <w:tcW w:w="2710" w:type="pct"/>
            <w:tcBorders>
              <w:bottom w:val="nil"/>
            </w:tcBorders>
          </w:tcPr>
          <w:p w14:paraId="5581A607" w14:textId="77777777" w:rsidR="00841CB7" w:rsidRPr="00B91524" w:rsidRDefault="00841CB7" w:rsidP="00A921B1">
            <w:pPr>
              <w:autoSpaceDE w:val="0"/>
              <w:autoSpaceDN w:val="0"/>
              <w:jc w:val="center"/>
              <w:cnfStyle w:val="100000000000" w:firstRow="1" w:lastRow="0" w:firstColumn="0" w:lastColumn="0" w:oddVBand="0" w:evenVBand="0" w:oddHBand="0" w:evenHBand="0" w:firstRowFirstColumn="0" w:firstRowLastColumn="0" w:lastRowFirstColumn="0" w:lastRowLastColumn="0"/>
              <w:rPr>
                <w:rFonts w:cstheme="minorHAnsi"/>
                <w:sz w:val="20"/>
                <w:lang w:eastAsia="de-DE"/>
              </w:rPr>
            </w:pPr>
            <w:r w:rsidRPr="00B91524">
              <w:rPr>
                <w:rFonts w:cstheme="minorHAnsi"/>
                <w:sz w:val="20"/>
                <w:lang w:eastAsia="de-DE"/>
              </w:rPr>
              <w:t>OFTO</w:t>
            </w:r>
            <w:r w:rsidRPr="00B91524">
              <w:rPr>
                <w:rFonts w:cstheme="minorHAnsi"/>
                <w:sz w:val="20"/>
              </w:rPr>
              <w:t xml:space="preserve"> (Transmission)</w:t>
            </w:r>
          </w:p>
        </w:tc>
      </w:tr>
      <w:tr w:rsidR="00841CB7" w:rsidRPr="00B91524" w14:paraId="3A093B9B" w14:textId="77777777" w:rsidTr="00A921B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90" w:type="pct"/>
            <w:tcBorders>
              <w:top w:val="nil"/>
            </w:tcBorders>
            <w:shd w:val="clear" w:color="auto" w:fill="FFFFFF" w:themeFill="background1"/>
            <w:vAlign w:val="top"/>
          </w:tcPr>
          <w:p w14:paraId="337D2716" w14:textId="13D4D6D6" w:rsidR="00841CB7" w:rsidRPr="00B91524" w:rsidRDefault="00D46238" w:rsidP="00841CB7">
            <w:pPr>
              <w:pStyle w:val="ListParagraph"/>
              <w:numPr>
                <w:ilvl w:val="2"/>
                <w:numId w:val="140"/>
              </w:numPr>
              <w:tabs>
                <w:tab w:val="clear" w:pos="2160"/>
              </w:tabs>
              <w:spacing w:before="0" w:after="0" w:line="240" w:lineRule="auto"/>
              <w:ind w:left="426" w:hanging="426"/>
              <w:rPr>
                <w:rFonts w:cstheme="minorHAnsi"/>
                <w:sz w:val="20"/>
                <w:szCs w:val="36"/>
              </w:rPr>
            </w:pPr>
            <w:r w:rsidRPr="00B91524">
              <w:rPr>
                <w:rFonts w:eastAsiaTheme="minorEastAsia" w:cstheme="minorHAnsi"/>
                <w:color w:val="000000" w:themeColor="text1"/>
                <w:kern w:val="24"/>
                <w:sz w:val="20"/>
                <w:szCs w:val="20"/>
                <w:lang w:val="en-US"/>
              </w:rPr>
              <w:t xml:space="preserve">100 </w:t>
            </w:r>
            <w:r w:rsidR="00841CB7" w:rsidRPr="00B91524">
              <w:rPr>
                <w:rFonts w:eastAsiaTheme="minorEastAsia" w:cstheme="minorHAnsi"/>
                <w:color w:val="000000" w:themeColor="text1"/>
                <w:kern w:val="24"/>
                <w:sz w:val="20"/>
                <w:szCs w:val="20"/>
                <w:lang w:val="en-US"/>
              </w:rPr>
              <w:t>wind turbines and supporting tower structures</w:t>
            </w:r>
          </w:p>
          <w:p w14:paraId="63513D59" w14:textId="77777777" w:rsidR="00841CB7" w:rsidRPr="00B91524" w:rsidRDefault="00841CB7" w:rsidP="00841CB7">
            <w:pPr>
              <w:pStyle w:val="ListParagraph"/>
              <w:numPr>
                <w:ilvl w:val="2"/>
                <w:numId w:val="140"/>
              </w:numPr>
              <w:tabs>
                <w:tab w:val="clear" w:pos="2160"/>
              </w:tabs>
              <w:spacing w:before="0" w:after="0" w:line="240" w:lineRule="auto"/>
              <w:ind w:left="426" w:hanging="426"/>
              <w:rPr>
                <w:rFonts w:cstheme="minorHAnsi"/>
                <w:sz w:val="20"/>
                <w:szCs w:val="36"/>
              </w:rPr>
            </w:pPr>
            <w:r w:rsidRPr="00B91524">
              <w:rPr>
                <w:rFonts w:eastAsiaTheme="minorEastAsia" w:cstheme="minorHAnsi"/>
                <w:color w:val="000000" w:themeColor="text1"/>
                <w:kern w:val="24"/>
                <w:sz w:val="20"/>
                <w:szCs w:val="20"/>
                <w:lang w:val="en-US"/>
              </w:rPr>
              <w:t>wind turbine foundations and associated support and access structures</w:t>
            </w:r>
          </w:p>
          <w:p w14:paraId="3EAB6EAD" w14:textId="01167F67" w:rsidR="00841CB7" w:rsidRPr="00B91524" w:rsidRDefault="00841CB7" w:rsidP="00841CB7">
            <w:pPr>
              <w:pStyle w:val="ListParagraph"/>
              <w:numPr>
                <w:ilvl w:val="2"/>
                <w:numId w:val="140"/>
              </w:numPr>
              <w:tabs>
                <w:tab w:val="clear" w:pos="2160"/>
              </w:tabs>
              <w:spacing w:before="0" w:after="0" w:line="240" w:lineRule="auto"/>
              <w:ind w:left="426" w:hanging="426"/>
              <w:rPr>
                <w:rFonts w:cstheme="minorHAnsi"/>
                <w:sz w:val="20"/>
                <w:szCs w:val="36"/>
              </w:rPr>
            </w:pPr>
            <w:r w:rsidRPr="00B91524">
              <w:rPr>
                <w:rFonts w:eastAsiaTheme="minorEastAsia" w:cstheme="minorHAnsi"/>
                <w:color w:val="000000" w:themeColor="text1"/>
                <w:kern w:val="24"/>
                <w:sz w:val="20"/>
                <w:szCs w:val="20"/>
                <w:lang w:val="en-US"/>
              </w:rPr>
              <w:t>subsea inter-array cables (950km maximum)</w:t>
            </w:r>
          </w:p>
          <w:p w14:paraId="51C1B98A" w14:textId="77777777" w:rsidR="00841CB7" w:rsidRPr="00B91524" w:rsidRDefault="00841CB7" w:rsidP="00841CB7">
            <w:pPr>
              <w:pStyle w:val="ListParagraph"/>
              <w:numPr>
                <w:ilvl w:val="2"/>
                <w:numId w:val="140"/>
              </w:numPr>
              <w:tabs>
                <w:tab w:val="clear" w:pos="2160"/>
              </w:tabs>
              <w:spacing w:before="0" w:after="0" w:line="240" w:lineRule="auto"/>
              <w:ind w:left="426" w:hanging="426"/>
              <w:rPr>
                <w:rFonts w:cstheme="minorHAnsi"/>
                <w:sz w:val="20"/>
                <w:szCs w:val="36"/>
              </w:rPr>
            </w:pPr>
            <w:r w:rsidRPr="00B91524">
              <w:rPr>
                <w:rFonts w:eastAsiaTheme="minorEastAsia" w:cstheme="minorHAnsi"/>
                <w:color w:val="000000" w:themeColor="text1"/>
                <w:kern w:val="24"/>
                <w:sz w:val="20"/>
                <w:szCs w:val="20"/>
                <w:lang w:val="en-US"/>
              </w:rPr>
              <w:t>array cable protection measures (where necessary)</w:t>
            </w:r>
          </w:p>
          <w:p w14:paraId="0FF7C30B" w14:textId="686EFB30" w:rsidR="00841CB7" w:rsidRPr="00B91524" w:rsidRDefault="00841CB7" w:rsidP="00841CB7">
            <w:pPr>
              <w:pStyle w:val="ListParagraph"/>
              <w:numPr>
                <w:ilvl w:val="2"/>
                <w:numId w:val="140"/>
              </w:numPr>
              <w:tabs>
                <w:tab w:val="clear" w:pos="2160"/>
              </w:tabs>
              <w:spacing w:before="0" w:after="0" w:line="240" w:lineRule="auto"/>
              <w:ind w:left="426" w:hanging="426"/>
              <w:rPr>
                <w:rFonts w:cstheme="minorHAnsi"/>
                <w:sz w:val="20"/>
                <w:szCs w:val="36"/>
              </w:rPr>
            </w:pPr>
            <w:r w:rsidRPr="00B91524">
              <w:rPr>
                <w:rFonts w:eastAsiaTheme="minorEastAsia" w:cstheme="minorHAnsi"/>
                <w:color w:val="000000" w:themeColor="text1"/>
                <w:kern w:val="24"/>
                <w:sz w:val="20"/>
                <w:szCs w:val="20"/>
                <w:lang w:val="en-US"/>
              </w:rPr>
              <w:t xml:space="preserve">the 66kV switchgear, SCADA systems and the control and protection panels located at the </w:t>
            </w:r>
            <w:r w:rsidR="00D46238" w:rsidRPr="00B91524">
              <w:rPr>
                <w:rFonts w:eastAsiaTheme="minorEastAsia" w:cstheme="minorHAnsi"/>
                <w:color w:val="000000" w:themeColor="text1"/>
                <w:kern w:val="24"/>
                <w:sz w:val="20"/>
                <w:szCs w:val="20"/>
                <w:lang w:val="en-US"/>
              </w:rPr>
              <w:t>offshore converter platform (</w:t>
            </w:r>
            <w:r w:rsidRPr="00B91524">
              <w:rPr>
                <w:rFonts w:eastAsiaTheme="minorEastAsia" w:cstheme="minorHAnsi"/>
                <w:color w:val="000000" w:themeColor="text1"/>
                <w:kern w:val="24"/>
                <w:sz w:val="20"/>
                <w:szCs w:val="20"/>
                <w:lang w:val="en-US"/>
              </w:rPr>
              <w:t>OCP</w:t>
            </w:r>
            <w:r w:rsidR="00D46238" w:rsidRPr="00B91524">
              <w:rPr>
                <w:rFonts w:eastAsiaTheme="minorEastAsia" w:cstheme="minorHAnsi"/>
                <w:color w:val="000000" w:themeColor="text1"/>
                <w:kern w:val="24"/>
                <w:sz w:val="20"/>
                <w:szCs w:val="20"/>
                <w:lang w:val="en-US"/>
              </w:rPr>
              <w:t>)</w:t>
            </w:r>
          </w:p>
        </w:tc>
        <w:tc>
          <w:tcPr>
            <w:tcW w:w="2710" w:type="pct"/>
            <w:tcBorders>
              <w:top w:val="nil"/>
            </w:tcBorders>
            <w:shd w:val="clear" w:color="auto" w:fill="FFFFFF" w:themeFill="background1"/>
            <w:vAlign w:val="top"/>
          </w:tcPr>
          <w:p w14:paraId="2F0243A8" w14:textId="57225135" w:rsidR="00841CB7" w:rsidRPr="00B91524" w:rsidRDefault="00841CB7" w:rsidP="00841CB7">
            <w:pPr>
              <w:pStyle w:val="ListParagraph"/>
              <w:numPr>
                <w:ilvl w:val="2"/>
                <w:numId w:val="140"/>
              </w:numPr>
              <w:tabs>
                <w:tab w:val="clear" w:pos="2160"/>
                <w:tab w:val="left" w:pos="166"/>
              </w:tabs>
              <w:spacing w:before="0" w:after="0" w:line="240" w:lineRule="auto"/>
              <w:ind w:left="166" w:hanging="133"/>
              <w:cnfStyle w:val="000000100000" w:firstRow="0" w:lastRow="0" w:firstColumn="0" w:lastColumn="0" w:oddVBand="0" w:evenVBand="0" w:oddHBand="1" w:evenHBand="0" w:firstRowFirstColumn="0" w:firstRowLastColumn="0" w:lastRowFirstColumn="0" w:lastRowLastColumn="0"/>
              <w:rPr>
                <w:rFonts w:cstheme="minorHAnsi"/>
                <w:sz w:val="20"/>
                <w:szCs w:val="36"/>
              </w:rPr>
            </w:pPr>
            <w:r w:rsidRPr="00B91524">
              <w:rPr>
                <w:rFonts w:eastAsiaTheme="minorEastAsia" w:cstheme="minorHAnsi"/>
                <w:color w:val="000000" w:themeColor="text1"/>
                <w:kern w:val="24"/>
                <w:sz w:val="20"/>
                <w:szCs w:val="20"/>
              </w:rPr>
              <w:t>400</w:t>
            </w:r>
            <w:r w:rsidR="00D46238" w:rsidRPr="00B91524">
              <w:rPr>
                <w:rFonts w:eastAsiaTheme="minorEastAsia" w:cstheme="minorHAnsi"/>
                <w:color w:val="000000" w:themeColor="text1"/>
                <w:kern w:val="24"/>
                <w:sz w:val="20"/>
                <w:szCs w:val="20"/>
              </w:rPr>
              <w:t xml:space="preserve"> </w:t>
            </w:r>
            <w:r w:rsidRPr="00B91524">
              <w:rPr>
                <w:rFonts w:eastAsiaTheme="minorEastAsia" w:cstheme="minorHAnsi"/>
                <w:color w:val="000000" w:themeColor="text1"/>
                <w:kern w:val="24"/>
                <w:sz w:val="20"/>
                <w:szCs w:val="20"/>
              </w:rPr>
              <w:t xml:space="preserve">kV bay at the National Grid </w:t>
            </w:r>
            <w:proofErr w:type="spellStart"/>
            <w:r w:rsidRPr="00B91524">
              <w:rPr>
                <w:rFonts w:eastAsiaTheme="minorEastAsia" w:cstheme="minorHAnsi"/>
                <w:color w:val="000000" w:themeColor="text1"/>
                <w:kern w:val="24"/>
                <w:sz w:val="20"/>
                <w:szCs w:val="20"/>
              </w:rPr>
              <w:t>Lackenby</w:t>
            </w:r>
            <w:proofErr w:type="spellEnd"/>
            <w:r w:rsidRPr="00B91524">
              <w:rPr>
                <w:rFonts w:eastAsiaTheme="minorEastAsia" w:cstheme="minorHAnsi"/>
                <w:color w:val="000000" w:themeColor="text1"/>
                <w:kern w:val="24"/>
                <w:sz w:val="20"/>
                <w:szCs w:val="20"/>
              </w:rPr>
              <w:t xml:space="preserve"> substation</w:t>
            </w:r>
          </w:p>
          <w:p w14:paraId="04EA4286" w14:textId="5F19A5E8" w:rsidR="00841CB7" w:rsidRPr="00B91524" w:rsidRDefault="00841CB7" w:rsidP="00841CB7">
            <w:pPr>
              <w:pStyle w:val="ListParagraph"/>
              <w:numPr>
                <w:ilvl w:val="2"/>
                <w:numId w:val="140"/>
              </w:numPr>
              <w:tabs>
                <w:tab w:val="clear" w:pos="2160"/>
                <w:tab w:val="left" w:pos="166"/>
                <w:tab w:val="left" w:pos="459"/>
              </w:tabs>
              <w:spacing w:before="0" w:after="0" w:line="240" w:lineRule="auto"/>
              <w:ind w:left="166" w:hanging="133"/>
              <w:cnfStyle w:val="000000100000" w:firstRow="0" w:lastRow="0" w:firstColumn="0" w:lastColumn="0" w:oddVBand="0" w:evenVBand="0" w:oddHBand="1" w:evenHBand="0" w:firstRowFirstColumn="0" w:firstRowLastColumn="0" w:lastRowFirstColumn="0" w:lastRowLastColumn="0"/>
              <w:rPr>
                <w:rFonts w:cstheme="minorHAnsi"/>
                <w:sz w:val="20"/>
                <w:szCs w:val="36"/>
              </w:rPr>
            </w:pPr>
            <w:r w:rsidRPr="00B91524">
              <w:rPr>
                <w:rFonts w:eastAsiaTheme="minorEastAsia" w:cstheme="minorHAnsi"/>
                <w:color w:val="000000" w:themeColor="text1"/>
                <w:kern w:val="24"/>
                <w:sz w:val="20"/>
                <w:szCs w:val="20"/>
              </w:rPr>
              <w:t xml:space="preserve">400 kV cables linking the </w:t>
            </w:r>
            <w:r w:rsidR="00D46238" w:rsidRPr="00B91524">
              <w:rPr>
                <w:rFonts w:eastAsiaTheme="minorEastAsia" w:cstheme="minorHAnsi"/>
                <w:color w:val="000000" w:themeColor="text1"/>
                <w:kern w:val="24"/>
                <w:sz w:val="20"/>
                <w:szCs w:val="20"/>
              </w:rPr>
              <w:t>o</w:t>
            </w:r>
            <w:r w:rsidRPr="00B91524">
              <w:rPr>
                <w:rFonts w:eastAsiaTheme="minorEastAsia" w:cstheme="minorHAnsi"/>
                <w:color w:val="000000" w:themeColor="text1"/>
                <w:kern w:val="24"/>
                <w:sz w:val="20"/>
                <w:szCs w:val="20"/>
              </w:rPr>
              <w:t xml:space="preserve">nshore </w:t>
            </w:r>
            <w:r w:rsidR="00D46238" w:rsidRPr="00B91524">
              <w:rPr>
                <w:rFonts w:eastAsiaTheme="minorEastAsia" w:cstheme="minorHAnsi"/>
                <w:color w:val="000000" w:themeColor="text1"/>
                <w:kern w:val="24"/>
                <w:sz w:val="20"/>
                <w:szCs w:val="20"/>
              </w:rPr>
              <w:t>c</w:t>
            </w:r>
            <w:r w:rsidRPr="00B91524">
              <w:rPr>
                <w:rFonts w:eastAsiaTheme="minorEastAsia" w:cstheme="minorHAnsi"/>
                <w:color w:val="000000" w:themeColor="text1"/>
                <w:kern w:val="24"/>
                <w:sz w:val="20"/>
                <w:szCs w:val="20"/>
              </w:rPr>
              <w:t xml:space="preserve">onverter </w:t>
            </w:r>
            <w:r w:rsidR="00D46238" w:rsidRPr="00B91524">
              <w:rPr>
                <w:rFonts w:eastAsiaTheme="minorEastAsia" w:cstheme="minorHAnsi"/>
                <w:color w:val="000000" w:themeColor="text1"/>
                <w:kern w:val="24"/>
                <w:sz w:val="20"/>
                <w:szCs w:val="20"/>
              </w:rPr>
              <w:t>s</w:t>
            </w:r>
            <w:r w:rsidRPr="00B91524">
              <w:rPr>
                <w:rFonts w:eastAsiaTheme="minorEastAsia" w:cstheme="minorHAnsi"/>
                <w:color w:val="000000" w:themeColor="text1"/>
                <w:kern w:val="24"/>
                <w:sz w:val="20"/>
                <w:szCs w:val="20"/>
              </w:rPr>
              <w:t>tation</w:t>
            </w:r>
            <w:r w:rsidR="00D46238" w:rsidRPr="00B91524">
              <w:rPr>
                <w:rFonts w:eastAsiaTheme="minorEastAsia" w:cstheme="minorHAnsi"/>
                <w:color w:val="000000" w:themeColor="text1"/>
                <w:kern w:val="24"/>
                <w:sz w:val="20"/>
                <w:szCs w:val="20"/>
              </w:rPr>
              <w:t xml:space="preserve"> (OCS</w:t>
            </w:r>
            <w:r w:rsidRPr="00B91524">
              <w:rPr>
                <w:rFonts w:eastAsiaTheme="minorEastAsia" w:cstheme="minorHAnsi"/>
                <w:color w:val="000000" w:themeColor="text1"/>
                <w:kern w:val="24"/>
                <w:sz w:val="20"/>
                <w:szCs w:val="20"/>
              </w:rPr>
              <w:t xml:space="preserve">) to the National Grid substation </w:t>
            </w:r>
          </w:p>
          <w:p w14:paraId="2A06D4E4" w14:textId="77777777" w:rsidR="00841CB7" w:rsidRPr="00B91524" w:rsidRDefault="00841CB7" w:rsidP="00841CB7">
            <w:pPr>
              <w:pStyle w:val="ListParagraph"/>
              <w:numPr>
                <w:ilvl w:val="2"/>
                <w:numId w:val="140"/>
              </w:numPr>
              <w:tabs>
                <w:tab w:val="clear" w:pos="2160"/>
                <w:tab w:val="left" w:pos="166"/>
                <w:tab w:val="left" w:pos="459"/>
              </w:tabs>
              <w:spacing w:before="0" w:after="0" w:line="240" w:lineRule="auto"/>
              <w:ind w:left="166" w:hanging="133"/>
              <w:cnfStyle w:val="000000100000" w:firstRow="0" w:lastRow="0" w:firstColumn="0" w:lastColumn="0" w:oddVBand="0" w:evenVBand="0" w:oddHBand="1" w:evenHBand="0" w:firstRowFirstColumn="0" w:firstRowLastColumn="0" w:lastRowFirstColumn="0" w:lastRowLastColumn="0"/>
              <w:rPr>
                <w:rFonts w:cstheme="minorHAnsi"/>
                <w:sz w:val="20"/>
                <w:szCs w:val="36"/>
              </w:rPr>
            </w:pPr>
            <w:r w:rsidRPr="00B91524">
              <w:rPr>
                <w:rFonts w:eastAsiaTheme="minorEastAsia" w:cstheme="minorHAnsi"/>
                <w:color w:val="000000" w:themeColor="text1"/>
                <w:kern w:val="24"/>
                <w:sz w:val="20"/>
                <w:szCs w:val="20"/>
              </w:rPr>
              <w:t>One OCS</w:t>
            </w:r>
          </w:p>
          <w:p w14:paraId="6321E9DF" w14:textId="77777777" w:rsidR="00841CB7" w:rsidRPr="00B91524" w:rsidRDefault="00841CB7" w:rsidP="00841CB7">
            <w:pPr>
              <w:pStyle w:val="ListParagraph"/>
              <w:numPr>
                <w:ilvl w:val="2"/>
                <w:numId w:val="140"/>
              </w:numPr>
              <w:tabs>
                <w:tab w:val="clear" w:pos="2160"/>
                <w:tab w:val="left" w:pos="166"/>
                <w:tab w:val="left" w:pos="459"/>
              </w:tabs>
              <w:spacing w:before="0" w:after="0" w:line="240" w:lineRule="auto"/>
              <w:ind w:left="166" w:hanging="133"/>
              <w:cnfStyle w:val="000000100000" w:firstRow="0" w:lastRow="0" w:firstColumn="0" w:lastColumn="0" w:oddVBand="0" w:evenVBand="0" w:oddHBand="1" w:evenHBand="0" w:firstRowFirstColumn="0" w:firstRowLastColumn="0" w:lastRowFirstColumn="0" w:lastRowLastColumn="0"/>
              <w:rPr>
                <w:rFonts w:cstheme="minorHAnsi"/>
                <w:sz w:val="20"/>
                <w:szCs w:val="36"/>
              </w:rPr>
            </w:pPr>
            <w:r w:rsidRPr="00B91524">
              <w:rPr>
                <w:rFonts w:eastAsiaTheme="minorEastAsia" w:cstheme="minorHAnsi"/>
                <w:color w:val="000000" w:themeColor="text1"/>
                <w:kern w:val="24"/>
                <w:sz w:val="20"/>
                <w:szCs w:val="20"/>
              </w:rPr>
              <w:t>320kV export cables linking the OCS to the OCP (~230km offshore, ~7km onshore), export cable protection measures where necessary.</w:t>
            </w:r>
          </w:p>
          <w:p w14:paraId="2715EEF3" w14:textId="77777777" w:rsidR="00841CB7" w:rsidRPr="00B91524" w:rsidRDefault="00841CB7" w:rsidP="00841CB7">
            <w:pPr>
              <w:pStyle w:val="ListParagraph"/>
              <w:numPr>
                <w:ilvl w:val="2"/>
                <w:numId w:val="140"/>
              </w:numPr>
              <w:tabs>
                <w:tab w:val="clear" w:pos="2160"/>
                <w:tab w:val="left" w:pos="166"/>
                <w:tab w:val="left" w:pos="459"/>
              </w:tabs>
              <w:spacing w:before="0" w:after="0" w:line="240" w:lineRule="auto"/>
              <w:ind w:left="166" w:hanging="133"/>
              <w:cnfStyle w:val="000000100000" w:firstRow="0" w:lastRow="0" w:firstColumn="0" w:lastColumn="0" w:oddVBand="0" w:evenVBand="0" w:oddHBand="1" w:evenHBand="0" w:firstRowFirstColumn="0" w:firstRowLastColumn="0" w:lastRowFirstColumn="0" w:lastRowLastColumn="0"/>
              <w:rPr>
                <w:rFonts w:cstheme="minorHAnsi"/>
                <w:sz w:val="20"/>
                <w:szCs w:val="36"/>
              </w:rPr>
            </w:pPr>
            <w:r w:rsidRPr="00B91524">
              <w:rPr>
                <w:rFonts w:eastAsiaTheme="minorEastAsia" w:cstheme="minorHAnsi"/>
                <w:color w:val="000000" w:themeColor="text1"/>
                <w:kern w:val="24"/>
                <w:sz w:val="20"/>
                <w:szCs w:val="20"/>
              </w:rPr>
              <w:t>One OCP, comprising of the HVDC converter system, converter transformers, 66kV AC and HVDC switchgear, auxiliary cooling system, diesel generators, control systems, battery DC (Direct Current) and UPS (Uninterruptable Power Supply) systems.</w:t>
            </w:r>
          </w:p>
          <w:p w14:paraId="0F7C9914" w14:textId="77777777" w:rsidR="00841CB7" w:rsidRPr="00B91524" w:rsidRDefault="00841CB7" w:rsidP="00841CB7">
            <w:pPr>
              <w:pStyle w:val="ListParagraph"/>
              <w:numPr>
                <w:ilvl w:val="2"/>
                <w:numId w:val="140"/>
              </w:numPr>
              <w:tabs>
                <w:tab w:val="clear" w:pos="2160"/>
                <w:tab w:val="left" w:pos="166"/>
                <w:tab w:val="left" w:pos="459"/>
              </w:tabs>
              <w:spacing w:before="0" w:line="240" w:lineRule="auto"/>
              <w:ind w:left="166" w:hanging="133"/>
              <w:cnfStyle w:val="000000100000" w:firstRow="0" w:lastRow="0" w:firstColumn="0" w:lastColumn="0" w:oddVBand="0" w:evenVBand="0" w:oddHBand="1" w:evenHBand="0" w:firstRowFirstColumn="0" w:firstRowLastColumn="0" w:lastRowFirstColumn="0" w:lastRowLastColumn="0"/>
              <w:rPr>
                <w:rFonts w:cstheme="minorHAnsi"/>
                <w:sz w:val="20"/>
                <w:szCs w:val="36"/>
              </w:rPr>
            </w:pPr>
            <w:r w:rsidRPr="00B91524">
              <w:rPr>
                <w:rFonts w:eastAsiaTheme="minorEastAsia" w:cstheme="minorHAnsi"/>
                <w:color w:val="000000" w:themeColor="text1"/>
                <w:kern w:val="24"/>
                <w:sz w:val="20"/>
                <w:szCs w:val="20"/>
                <w:lang w:val="en-US"/>
              </w:rPr>
              <w:t>OCP foundations and protection against scour and subsea foundation damage (where necessary)</w:t>
            </w:r>
          </w:p>
        </w:tc>
      </w:tr>
    </w:tbl>
    <w:p w14:paraId="0F406AA6" w14:textId="77777777" w:rsidR="00841CB7" w:rsidRPr="00B91524" w:rsidRDefault="00841CB7" w:rsidP="00841CB7">
      <w:pPr>
        <w:jc w:val="center"/>
        <w:rPr>
          <w:rFonts w:cstheme="minorHAnsi"/>
        </w:rPr>
      </w:pPr>
      <w:r w:rsidRPr="00B91524">
        <w:rPr>
          <w:rFonts w:cstheme="minorHAnsi"/>
          <w:noProof/>
          <w:lang w:eastAsia="en-GB"/>
        </w:rPr>
        <w:drawing>
          <wp:inline distT="0" distB="0" distL="0" distR="0" wp14:anchorId="2BB75177" wp14:editId="32BD090A">
            <wp:extent cx="3744438" cy="1574359"/>
            <wp:effectExtent l="0" t="0" r="8890" b="6985"/>
            <wp:docPr id="52" name="Picture 52" descr="cid:image001.png@01D50F14.412C1BF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png@01D50F14.412C1BF0"/>
                    <pic:cNvPicPr>
                      <a:picLocks noChangeAspect="1" noChangeArrowheads="1"/>
                    </pic:cNvPicPr>
                  </pic:nvPicPr>
                  <pic:blipFill rotWithShape="1">
                    <a:blip r:embed="rId20" r:link="rId21" cstate="print">
                      <a:extLst>
                        <a:ext uri="{28A0092B-C50C-407E-A947-70E740481C1C}">
                          <a14:useLocalDpi xmlns:a14="http://schemas.microsoft.com/office/drawing/2010/main" val="0"/>
                        </a:ext>
                      </a:extLst>
                    </a:blip>
                    <a:srcRect t="58597" b="1743"/>
                    <a:stretch/>
                  </pic:blipFill>
                  <pic:spPr bwMode="auto">
                    <a:xfrm>
                      <a:off x="0" y="0"/>
                      <a:ext cx="3765843" cy="1583359"/>
                    </a:xfrm>
                    <a:prstGeom prst="rect">
                      <a:avLst/>
                    </a:prstGeom>
                    <a:noFill/>
                    <a:ln>
                      <a:noFill/>
                    </a:ln>
                    <a:extLst>
                      <a:ext uri="{53640926-AAD7-44D8-BBD7-CCE9431645EC}">
                        <a14:shadowObscured xmlns:a14="http://schemas.microsoft.com/office/drawing/2010/main"/>
                      </a:ext>
                    </a:extLst>
                  </pic:spPr>
                </pic:pic>
              </a:graphicData>
            </a:graphic>
          </wp:inline>
        </w:drawing>
      </w:r>
    </w:p>
    <w:p w14:paraId="354824C4" w14:textId="26DC4034" w:rsidR="00841CB7" w:rsidRPr="00B91524" w:rsidRDefault="00841CB7" w:rsidP="00841CB7">
      <w:pPr>
        <w:pStyle w:val="Caption"/>
        <w:rPr>
          <w:rFonts w:cstheme="minorHAnsi"/>
        </w:rPr>
      </w:pPr>
      <w:bookmarkStart w:id="52" w:name="_Ref9952238"/>
      <w:bookmarkStart w:id="53" w:name="_Toc9955011"/>
      <w:bookmarkStart w:id="54" w:name="_Toc36720320"/>
      <w:bookmarkStart w:id="55" w:name="_Toc62048811"/>
      <w:r w:rsidRPr="00B91524">
        <w:rPr>
          <w:rFonts w:cstheme="minorHAnsi"/>
        </w:rPr>
        <w:t xml:space="preserve">Figure </w:t>
      </w:r>
      <w:r w:rsidR="00C82285" w:rsidRPr="00B91524">
        <w:rPr>
          <w:rFonts w:cstheme="minorHAnsi"/>
        </w:rPr>
        <w:fldChar w:fldCharType="begin"/>
      </w:r>
      <w:r w:rsidR="00C82285" w:rsidRPr="00B91524">
        <w:rPr>
          <w:rFonts w:cstheme="minorHAnsi"/>
        </w:rPr>
        <w:instrText xml:space="preserve"> STYLEREF 1 \s </w:instrText>
      </w:r>
      <w:r w:rsidR="00C82285" w:rsidRPr="00B91524">
        <w:rPr>
          <w:rFonts w:cstheme="minorHAnsi"/>
        </w:rPr>
        <w:fldChar w:fldCharType="separate"/>
      </w:r>
      <w:r w:rsidR="00683595">
        <w:rPr>
          <w:rFonts w:cstheme="minorHAnsi"/>
          <w:noProof/>
        </w:rPr>
        <w:t>2</w:t>
      </w:r>
      <w:r w:rsidR="00C82285" w:rsidRPr="00B91524">
        <w:rPr>
          <w:rFonts w:cstheme="minorHAnsi"/>
        </w:rPr>
        <w:fldChar w:fldCharType="end"/>
      </w:r>
      <w:r w:rsidR="00C82285" w:rsidRPr="00B91524">
        <w:rPr>
          <w:rFonts w:cstheme="minorHAnsi"/>
        </w:rPr>
        <w:noBreakHyphen/>
      </w:r>
      <w:r w:rsidR="00C82285" w:rsidRPr="00B91524">
        <w:rPr>
          <w:rFonts w:cstheme="minorHAnsi"/>
        </w:rPr>
        <w:fldChar w:fldCharType="begin"/>
      </w:r>
      <w:r w:rsidR="00C82285" w:rsidRPr="00B91524">
        <w:rPr>
          <w:rFonts w:cstheme="minorHAnsi"/>
        </w:rPr>
        <w:instrText xml:space="preserve"> SEQ Figure \* ARABIC \s 1 </w:instrText>
      </w:r>
      <w:r w:rsidR="00C82285" w:rsidRPr="00B91524">
        <w:rPr>
          <w:rFonts w:cstheme="minorHAnsi"/>
        </w:rPr>
        <w:fldChar w:fldCharType="separate"/>
      </w:r>
      <w:r w:rsidR="00683595">
        <w:rPr>
          <w:rFonts w:cstheme="minorHAnsi"/>
          <w:noProof/>
        </w:rPr>
        <w:t>2</w:t>
      </w:r>
      <w:r w:rsidR="00C82285" w:rsidRPr="00B91524">
        <w:rPr>
          <w:rFonts w:cstheme="minorHAnsi"/>
        </w:rPr>
        <w:fldChar w:fldCharType="end"/>
      </w:r>
      <w:bookmarkEnd w:id="52"/>
      <w:r w:rsidRPr="00B91524">
        <w:rPr>
          <w:rFonts w:cstheme="minorHAnsi"/>
        </w:rPr>
        <w:t xml:space="preserve"> Diagram showing the Grid Entry Point between the Wind Farm Operator and Offshore Transmission Owner systems.</w:t>
      </w:r>
      <w:bookmarkEnd w:id="53"/>
      <w:bookmarkEnd w:id="54"/>
      <w:bookmarkEnd w:id="55"/>
    </w:p>
    <w:p w14:paraId="2594C9F5" w14:textId="152A1EE4" w:rsidR="00C069CB" w:rsidRPr="00B91524" w:rsidRDefault="00C069CB" w:rsidP="00C069CB">
      <w:pPr>
        <w:pStyle w:val="Heading1"/>
      </w:pPr>
      <w:bookmarkStart w:id="56" w:name="_Toc74670320"/>
      <w:r w:rsidRPr="00B91524">
        <w:t>Development of t</w:t>
      </w:r>
      <w:bookmarkEnd w:id="28"/>
      <w:bookmarkEnd w:id="29"/>
      <w:r w:rsidR="00261325" w:rsidRPr="00B91524">
        <w:t>he benthic</w:t>
      </w:r>
      <w:r w:rsidRPr="00B91524">
        <w:t xml:space="preserve"> Monitoring Plan</w:t>
      </w:r>
      <w:bookmarkEnd w:id="30"/>
      <w:bookmarkEnd w:id="36"/>
      <w:bookmarkEnd w:id="56"/>
    </w:p>
    <w:p w14:paraId="24A23A35" w14:textId="57F65A86" w:rsidR="00C069CB" w:rsidRPr="00B91524" w:rsidRDefault="00C069CB">
      <w:pPr>
        <w:pStyle w:val="Heading2"/>
      </w:pPr>
      <w:bookmarkStart w:id="57" w:name="_Toc40437679"/>
      <w:bookmarkStart w:id="58" w:name="_Toc41050565"/>
      <w:bookmarkStart w:id="59" w:name="_Toc74670321"/>
      <w:r w:rsidRPr="00B91524">
        <w:t>Introduction</w:t>
      </w:r>
      <w:bookmarkEnd w:id="57"/>
      <w:bookmarkEnd w:id="58"/>
      <w:bookmarkEnd w:id="59"/>
    </w:p>
    <w:p w14:paraId="76724976" w14:textId="1C1E5211" w:rsidR="00C069CB" w:rsidRPr="00B91524" w:rsidRDefault="00C069CB" w:rsidP="007908D8">
      <w:pPr>
        <w:pStyle w:val="Reportbodytextnumbering"/>
      </w:pPr>
      <w:r w:rsidRPr="00B91524">
        <w:t xml:space="preserve">This section outlines how the </w:t>
      </w:r>
      <w:r w:rsidR="00261325" w:rsidRPr="00B91524">
        <w:t>B</w:t>
      </w:r>
      <w:r w:rsidRPr="00B91524">
        <w:t xml:space="preserve">MP has been developed following a review of the existing </w:t>
      </w:r>
      <w:r w:rsidR="008C5131" w:rsidRPr="00B91524">
        <w:t xml:space="preserve">and prospect </w:t>
      </w:r>
      <w:r w:rsidRPr="00B91524">
        <w:t>data</w:t>
      </w:r>
      <w:r w:rsidR="004E182D" w:rsidRPr="00B91524">
        <w:t xml:space="preserve"> (</w:t>
      </w:r>
      <w:r w:rsidR="005E0886" w:rsidRPr="00B91524">
        <w:t xml:space="preserve">Appendix </w:t>
      </w:r>
      <w:r w:rsidR="000502CC" w:rsidRPr="00B91524">
        <w:t>G</w:t>
      </w:r>
      <w:r w:rsidR="004E182D" w:rsidRPr="00B91524">
        <w:t>)</w:t>
      </w:r>
      <w:r w:rsidRPr="00B91524">
        <w:t xml:space="preserve">; the findings of the Environmental Impact Assessment (EIA) as reported in the ES, and the </w:t>
      </w:r>
      <w:r w:rsidR="00C8242A" w:rsidRPr="00B91524">
        <w:t>Habitats Regulation Assessment (HRA)</w:t>
      </w:r>
      <w:r w:rsidRPr="00B91524">
        <w:t xml:space="preserve"> for the project; the proposals within the IPMP; a </w:t>
      </w:r>
      <w:r w:rsidR="00261325" w:rsidRPr="00B91524">
        <w:t xml:space="preserve">review of the background </w:t>
      </w:r>
      <w:proofErr w:type="spellStart"/>
      <w:r w:rsidR="00261325" w:rsidRPr="00B91524">
        <w:t>characterisation</w:t>
      </w:r>
      <w:proofErr w:type="spellEnd"/>
      <w:r w:rsidR="00261325" w:rsidRPr="00B91524">
        <w:t xml:space="preserve"> information (SOWFL </w:t>
      </w:r>
      <w:r w:rsidR="00FF7621" w:rsidRPr="00B91524">
        <w:t xml:space="preserve">Benthic Note and </w:t>
      </w:r>
      <w:r w:rsidR="00261325" w:rsidRPr="00B91524">
        <w:t xml:space="preserve">Benthic Monitoring Plan: Supporting Studies </w:t>
      </w:r>
      <w:r w:rsidR="00FF7621" w:rsidRPr="00B91524">
        <w:t>documents)</w:t>
      </w:r>
      <w:r w:rsidR="00261325" w:rsidRPr="00B91524">
        <w:t xml:space="preserve"> and </w:t>
      </w:r>
      <w:r w:rsidRPr="00B91524">
        <w:t xml:space="preserve">discussions with </w:t>
      </w:r>
      <w:r w:rsidR="00F4371C" w:rsidRPr="00B91524">
        <w:t xml:space="preserve">the </w:t>
      </w:r>
      <w:proofErr w:type="spellStart"/>
      <w:r w:rsidR="00F4371C" w:rsidRPr="00B91524">
        <w:t>Senckenberg</w:t>
      </w:r>
      <w:proofErr w:type="spellEnd"/>
      <w:r w:rsidR="00F4371C" w:rsidRPr="00B91524">
        <w:t xml:space="preserve"> Research Institute (</w:t>
      </w:r>
      <w:r w:rsidR="00261325" w:rsidRPr="00B91524">
        <w:t>SRI</w:t>
      </w:r>
      <w:r w:rsidR="00F4371C" w:rsidRPr="00B91524">
        <w:t>)</w:t>
      </w:r>
      <w:r w:rsidR="00261325" w:rsidRPr="00B91524">
        <w:t>, the MMO</w:t>
      </w:r>
      <w:r w:rsidR="00950013" w:rsidRPr="00B91524">
        <w:t xml:space="preserve">, </w:t>
      </w:r>
      <w:proofErr w:type="spellStart"/>
      <w:r w:rsidR="00950013" w:rsidRPr="00B91524">
        <w:t>Cefas</w:t>
      </w:r>
      <w:proofErr w:type="spellEnd"/>
      <w:r w:rsidR="00261325" w:rsidRPr="00B91524">
        <w:t xml:space="preserve"> </w:t>
      </w:r>
      <w:r w:rsidRPr="00B91524">
        <w:t>and Natural England.</w:t>
      </w:r>
      <w:r w:rsidR="005E0886" w:rsidRPr="00B91524">
        <w:t xml:space="preserve"> A full list of associated documents that have been reviewed as part of the development relevant to this BMP is provided as Appendix </w:t>
      </w:r>
      <w:r w:rsidR="000502CC" w:rsidRPr="00B91524">
        <w:t>H</w:t>
      </w:r>
      <w:r w:rsidR="005E0886" w:rsidRPr="00B91524">
        <w:t>.</w:t>
      </w:r>
    </w:p>
    <w:p w14:paraId="217A2315" w14:textId="5E1947D9" w:rsidR="00FF7621" w:rsidRPr="00B91524" w:rsidRDefault="00FF7621">
      <w:pPr>
        <w:pStyle w:val="Heading2"/>
      </w:pPr>
      <w:bookmarkStart w:id="60" w:name="_Toc74670322"/>
      <w:r w:rsidRPr="00B91524">
        <w:lastRenderedPageBreak/>
        <w:t>findings of the environmental statement</w:t>
      </w:r>
      <w:bookmarkEnd w:id="60"/>
    </w:p>
    <w:p w14:paraId="49271CBB" w14:textId="523F1F74" w:rsidR="00E87A79" w:rsidRPr="00B91524" w:rsidRDefault="00FB5497" w:rsidP="007908D8">
      <w:pPr>
        <w:pStyle w:val="Reportbodytextnumbering"/>
      </w:pPr>
      <w:r w:rsidRPr="00B91524">
        <w:t>S</w:t>
      </w:r>
      <w:r w:rsidR="00E87A79" w:rsidRPr="00B91524">
        <w:t xml:space="preserve">tudies to date have identified that </w:t>
      </w:r>
      <w:proofErr w:type="spellStart"/>
      <w:r w:rsidR="00F51211" w:rsidRPr="00B91524">
        <w:t>BHo</w:t>
      </w:r>
      <w:r w:rsidR="00E87A79" w:rsidRPr="00B91524">
        <w:t>CEEI</w:t>
      </w:r>
      <w:proofErr w:type="spellEnd"/>
      <w:r w:rsidR="00E87A79" w:rsidRPr="00B91524">
        <w:t xml:space="preserve"> may be present within the SOWF </w:t>
      </w:r>
      <w:r w:rsidR="006F3F9E" w:rsidRPr="00B91524">
        <w:t>array</w:t>
      </w:r>
      <w:r w:rsidR="00E87A79" w:rsidRPr="00B91524">
        <w:t xml:space="preserve"> and </w:t>
      </w:r>
      <w:r w:rsidR="006F3F9E" w:rsidRPr="00B91524">
        <w:t>cable corridor</w:t>
      </w:r>
      <w:r w:rsidR="00E87A79" w:rsidRPr="00B91524">
        <w:t xml:space="preserve"> areas (additional to the known Dogger Bank SAC sandbank feature). Key potential impacts on these habitats have been assessed for all stages of the SOWF development as part of the original EIA. Temporary disturbance of existing habitats and increases in suspended sediment levels and subsequent deposition of sediment are predicted during the construction phase, with some permanent loss of habitat where infrastructure is fixed in place during operation. The EIA established that these impacts will not be significant</w:t>
      </w:r>
      <w:r w:rsidR="0026251B" w:rsidRPr="00B91524">
        <w:t xml:space="preserve"> for SOWF nor when considering in combination of effects of SOWF and DBWF combined</w:t>
      </w:r>
      <w:r w:rsidR="00E87A79" w:rsidRPr="00B91524">
        <w:t>.</w:t>
      </w:r>
      <w:r w:rsidR="0026251B" w:rsidRPr="00B91524">
        <w:t xml:space="preserve"> </w:t>
      </w:r>
      <w:r w:rsidR="00E87A79" w:rsidRPr="00B91524">
        <w:t>This conclusion was based on the understanding that the areas of existing seabed habitats that will be subject to temporary disturbance and/or permanent loss represent</w:t>
      </w:r>
      <w:r w:rsidR="00540D56" w:rsidRPr="00B91524">
        <w:t>ed</w:t>
      </w:r>
      <w:r w:rsidR="00E87A79" w:rsidRPr="00B91524">
        <w:t xml:space="preserve"> only a small proportion of similar seabed habitats in the wider region. In addition, the habitats to be affected are generally considered to exhibit low sensitivity and high recoverability to the majority of effects predicted. </w:t>
      </w:r>
      <w:r w:rsidR="005C4F2E" w:rsidRPr="00B91524">
        <w:t xml:space="preserve"> </w:t>
      </w:r>
      <w:r w:rsidR="006F3F9E" w:rsidRPr="00B91524">
        <w:t xml:space="preserve">Furthermore, these conclusions were based on the </w:t>
      </w:r>
      <w:r w:rsidR="008F4F69" w:rsidRPr="00B91524">
        <w:t>worst-case</w:t>
      </w:r>
      <w:r w:rsidR="006F3F9E" w:rsidRPr="00B91524">
        <w:t xml:space="preserve"> scenario of installation of 200 WTGs, double </w:t>
      </w:r>
      <w:r w:rsidR="008F4F69" w:rsidRPr="00B91524">
        <w:t xml:space="preserve">of what is now </w:t>
      </w:r>
      <w:r w:rsidR="006F3F9E" w:rsidRPr="00B91524">
        <w:t xml:space="preserve">proposed. </w:t>
      </w:r>
      <w:r w:rsidR="005C4F2E" w:rsidRPr="00B91524">
        <w:t>A full description of the likely effects and their significance is given in Appendix</w:t>
      </w:r>
      <w:r w:rsidR="009F2674" w:rsidRPr="00B91524">
        <w:t xml:space="preserve"> </w:t>
      </w:r>
      <w:r w:rsidR="000502CC" w:rsidRPr="00B91524">
        <w:t>G</w:t>
      </w:r>
      <w:r w:rsidR="009F2674" w:rsidRPr="00B91524">
        <w:t>.</w:t>
      </w:r>
      <w:r w:rsidR="005C4F2E" w:rsidRPr="00B91524">
        <w:t xml:space="preserve"> </w:t>
      </w:r>
    </w:p>
    <w:p w14:paraId="49AC5D64" w14:textId="7A69986A" w:rsidR="00F70726" w:rsidRPr="00B91524" w:rsidRDefault="001B15D4" w:rsidP="007908D8">
      <w:pPr>
        <w:pStyle w:val="Reportbodytextnumbering"/>
      </w:pPr>
      <w:r w:rsidRPr="00B91524">
        <w:t xml:space="preserve">As </w:t>
      </w:r>
      <w:r w:rsidR="000E3029" w:rsidRPr="00B91524">
        <w:t xml:space="preserve">set out in Section </w:t>
      </w:r>
      <w:r w:rsidR="002D57DD" w:rsidRPr="00B91524">
        <w:fldChar w:fldCharType="begin"/>
      </w:r>
      <w:r w:rsidR="002D57DD" w:rsidRPr="00B91524">
        <w:instrText xml:space="preserve"> REF _Ref46089652 \r \h  \* MERGEFORMAT </w:instrText>
      </w:r>
      <w:r w:rsidR="002D57DD" w:rsidRPr="00B91524">
        <w:fldChar w:fldCharType="separate"/>
      </w:r>
      <w:r w:rsidR="00683595">
        <w:t>1.4</w:t>
      </w:r>
      <w:r w:rsidR="002D57DD" w:rsidRPr="00B91524">
        <w:fldChar w:fldCharType="end"/>
      </w:r>
      <w:r w:rsidRPr="00B91524">
        <w:t>, the IPMP identif</w:t>
      </w:r>
      <w:r w:rsidR="006D32F4" w:rsidRPr="00B91524">
        <w:t>ies</w:t>
      </w:r>
      <w:r w:rsidRPr="00B91524">
        <w:t xml:space="preserve"> that monitoring should be focused on Annex I habitat</w:t>
      </w:r>
      <w:r w:rsidR="006D32F4" w:rsidRPr="00B91524">
        <w:t xml:space="preserve"> (cobble reef)</w:t>
      </w:r>
      <w:r w:rsidRPr="00B91524">
        <w:t xml:space="preserve">, with appropriate consideration given to monitoring the presence of any INNS and wider community type/structure, to identify changes that may affect site integrity.  </w:t>
      </w:r>
      <w:r w:rsidR="00412456" w:rsidRPr="00B91524">
        <w:t xml:space="preserve">However SOWFL will give consideration to all Annex I habitat. </w:t>
      </w:r>
      <w:r w:rsidRPr="00B91524">
        <w:t xml:space="preserve">As such, the updated habitat map </w:t>
      </w:r>
      <w:r w:rsidR="009D0700" w:rsidRPr="00B91524">
        <w:t xml:space="preserve">based on the 2020 SI data </w:t>
      </w:r>
      <w:r w:rsidRPr="00B91524">
        <w:t xml:space="preserve">will be used to identify the presence and extent of </w:t>
      </w:r>
      <w:r w:rsidR="006D32F4" w:rsidRPr="00B91524">
        <w:t>reef</w:t>
      </w:r>
      <w:r w:rsidRPr="00B91524">
        <w:t xml:space="preserve"> habitat that will be potentially affected by the construction works.</w:t>
      </w:r>
      <w:r w:rsidR="006D32F4" w:rsidRPr="00B91524">
        <w:t xml:space="preserve"> </w:t>
      </w:r>
      <w:r w:rsidRPr="00B91524">
        <w:t>From preliminary evaluation of the</w:t>
      </w:r>
      <w:r w:rsidR="002F0A18" w:rsidRPr="00B91524">
        <w:t xml:space="preserve"> SI </w:t>
      </w:r>
      <w:r w:rsidRPr="00B91524">
        <w:t xml:space="preserve">data sets, the presence of </w:t>
      </w:r>
      <w:r w:rsidR="009D0700" w:rsidRPr="00B91524">
        <w:t xml:space="preserve">biogenic reef (potentially </w:t>
      </w:r>
      <w:r w:rsidR="009D0700" w:rsidRPr="00B91524">
        <w:rPr>
          <w:i/>
          <w:iCs/>
        </w:rPr>
        <w:t>S. spinulosa</w:t>
      </w:r>
      <w:r w:rsidR="009D0700" w:rsidRPr="00B91524">
        <w:t xml:space="preserve">) and </w:t>
      </w:r>
      <w:r w:rsidR="002C6A75" w:rsidRPr="00B91524">
        <w:t xml:space="preserve">geogenic reef </w:t>
      </w:r>
      <w:r w:rsidR="009D0700" w:rsidRPr="00B91524">
        <w:t>have been identified</w:t>
      </w:r>
      <w:r w:rsidR="00F30091" w:rsidRPr="00B91524">
        <w:t xml:space="preserve"> as well as peat and clay exposures</w:t>
      </w:r>
      <w:r w:rsidR="006D32F4" w:rsidRPr="00B91524">
        <w:t>. These habitats will also therefore</w:t>
      </w:r>
      <w:r w:rsidR="009D0700" w:rsidRPr="00B91524">
        <w:t xml:space="preserve"> </w:t>
      </w:r>
      <w:r w:rsidR="006D32F4" w:rsidRPr="00B91524">
        <w:t>be mapped (if found to be present</w:t>
      </w:r>
      <w:r w:rsidR="00B83C50" w:rsidRPr="00B91524">
        <w:t xml:space="preserve"> in areas affected by construction</w:t>
      </w:r>
      <w:r w:rsidR="006D32F4" w:rsidRPr="00B91524">
        <w:t>) and monitored.</w:t>
      </w:r>
    </w:p>
    <w:p w14:paraId="20A40598" w14:textId="367410FC" w:rsidR="00F70726" w:rsidRPr="00B91524" w:rsidRDefault="00F70726" w:rsidP="007908D8">
      <w:pPr>
        <w:pStyle w:val="Reportbodytextnumbering"/>
      </w:pPr>
      <w:r w:rsidRPr="00B91524">
        <w:t xml:space="preserve">In addition, in order to examine the effects of </w:t>
      </w:r>
      <w:r w:rsidR="00654CCE" w:rsidRPr="00B91524">
        <w:t>SOWF</w:t>
      </w:r>
      <w:r w:rsidRPr="00B91524">
        <w:t>, particularly scour on the Dogger Bank SAC Annex I sandbank feature, a selected number of infrastructure locations with the greatest potential for scour</w:t>
      </w:r>
      <w:r w:rsidR="00654CCE" w:rsidRPr="00B91524">
        <w:t xml:space="preserve"> will be </w:t>
      </w:r>
      <w:r w:rsidR="005639DA" w:rsidRPr="00B91524">
        <w:t>monitored</w:t>
      </w:r>
      <w:r w:rsidRPr="00B91524">
        <w:t xml:space="preserve">. This will ensure that monitoring required under the provisions of the SOWFL Geophysical (Bathymetrical) Monitoring Plan </w:t>
      </w:r>
      <w:r w:rsidR="00674CFD" w:rsidRPr="00B91524">
        <w:t xml:space="preserve">(SOWFL, 2019a) </w:t>
      </w:r>
      <w:r w:rsidRPr="00B91524">
        <w:t>is linked to the benthic monitoring such that the effects of the construction and operation of the wind farm can be appropriately assessed.</w:t>
      </w:r>
    </w:p>
    <w:p w14:paraId="3AAC02B0" w14:textId="77777777" w:rsidR="00FF7621" w:rsidRPr="00B91524" w:rsidRDefault="00FF7621">
      <w:pPr>
        <w:pStyle w:val="Heading2"/>
      </w:pPr>
      <w:bookmarkStart w:id="61" w:name="_Toc40437683"/>
      <w:bookmarkStart w:id="62" w:name="_Toc41050569"/>
      <w:bookmarkStart w:id="63" w:name="_Toc74670323"/>
      <w:r w:rsidRPr="00B91524">
        <w:t>Findings of the Report to Inform Appropriate Assessment</w:t>
      </w:r>
      <w:bookmarkEnd w:id="61"/>
      <w:bookmarkEnd w:id="62"/>
      <w:bookmarkEnd w:id="63"/>
    </w:p>
    <w:p w14:paraId="61E21903" w14:textId="18009C55" w:rsidR="00FF7621" w:rsidRPr="00B91524" w:rsidRDefault="00FF7621" w:rsidP="007908D8">
      <w:pPr>
        <w:pStyle w:val="Reportbodytextnumbering"/>
      </w:pPr>
      <w:r w:rsidRPr="00B91524">
        <w:t>The</w:t>
      </w:r>
      <w:r w:rsidR="008F4F69" w:rsidRPr="00B91524">
        <w:t xml:space="preserve"> </w:t>
      </w:r>
      <w:r w:rsidRPr="00B91524">
        <w:t>Habitat Regulations Assessment Report, Information for Appropriate Assessment Report (</w:t>
      </w:r>
      <w:proofErr w:type="spellStart"/>
      <w:r w:rsidRPr="00B91524">
        <w:t>Forewind</w:t>
      </w:r>
      <w:proofErr w:type="spellEnd"/>
      <w:r w:rsidRPr="00B91524">
        <w:t>, 2014) predicted there would be no adverse effect on the integrity of Natura 2000 sites as a result of construction, operation and decommissioning of the offshore and onshore components of the SOWF, either alone or in-combination with other plans and projects. This conclusion was based on the findings that adverse effects on the qualifying features (i.e., habitats and species) will not occur and this was confirmed in the Secretary of State Habitats Regulation Assessment (Department of Energy and Climate Change, 2015).</w:t>
      </w:r>
    </w:p>
    <w:p w14:paraId="16EDA258" w14:textId="77777777" w:rsidR="009B6EED" w:rsidRPr="00B91524" w:rsidRDefault="009B6EED">
      <w:pPr>
        <w:pStyle w:val="Heading2"/>
      </w:pPr>
      <w:bookmarkStart w:id="64" w:name="_Toc40437684"/>
      <w:bookmarkStart w:id="65" w:name="_Toc41050570"/>
      <w:bookmarkStart w:id="66" w:name="_Toc74670324"/>
      <w:r w:rsidRPr="00B91524">
        <w:lastRenderedPageBreak/>
        <w:t>Non-material Change Applications and deemed Marine Licence Variations</w:t>
      </w:r>
      <w:bookmarkEnd w:id="64"/>
      <w:bookmarkEnd w:id="65"/>
      <w:bookmarkEnd w:id="66"/>
      <w:r w:rsidRPr="00B91524">
        <w:t xml:space="preserve"> </w:t>
      </w:r>
    </w:p>
    <w:p w14:paraId="308D9EBA" w14:textId="42F72967" w:rsidR="001A6144" w:rsidRPr="00B91524" w:rsidRDefault="009B6EED" w:rsidP="008F4F69">
      <w:pPr>
        <w:pStyle w:val="Reportbodytextnumbering"/>
      </w:pPr>
      <w:r w:rsidRPr="00B91524">
        <w:t>In June 2018, SOWFL submitted, and was granted (in March 2019) a request to the Secretary of State for change</w:t>
      </w:r>
      <w:r w:rsidR="0002766F" w:rsidRPr="00B91524">
        <w:t>s</w:t>
      </w:r>
      <w:r w:rsidRPr="00B91524">
        <w:t xml:space="preserve"> to </w:t>
      </w:r>
      <w:r w:rsidR="0002766F" w:rsidRPr="00B91524">
        <w:t xml:space="preserve">be </w:t>
      </w:r>
      <w:r w:rsidRPr="00B91524">
        <w:t>made to the DCO for SOWF</w:t>
      </w:r>
      <w:r w:rsidR="0002766F" w:rsidRPr="00B91524">
        <w:t xml:space="preserve">.  A parallel submission was made to the MMO, and granted (in April 2019) for the same changes to </w:t>
      </w:r>
      <w:proofErr w:type="spellStart"/>
      <w:r w:rsidR="0002766F" w:rsidRPr="00B91524">
        <w:t>dML</w:t>
      </w:r>
      <w:proofErr w:type="spellEnd"/>
      <w:r w:rsidR="0002766F" w:rsidRPr="00B91524">
        <w:t xml:space="preserve"> Schedule 9 and </w:t>
      </w:r>
      <w:proofErr w:type="spellStart"/>
      <w:r w:rsidR="0002766F" w:rsidRPr="00B91524">
        <w:t>dML</w:t>
      </w:r>
      <w:proofErr w:type="spellEnd"/>
      <w:r w:rsidR="0002766F" w:rsidRPr="00B91524">
        <w:t xml:space="preserve"> Schedule 11 of the DCO.  Of relevance to benthic ecology was the request for monopiles up to </w:t>
      </w:r>
      <w:r w:rsidR="001A6144" w:rsidRPr="00B91524">
        <w:t>a maximum 12m diameter</w:t>
      </w:r>
      <w:r w:rsidR="008F4F69" w:rsidRPr="00B91524">
        <w:t xml:space="preserve"> </w:t>
      </w:r>
      <w:r w:rsidR="0002766F" w:rsidRPr="00B91524">
        <w:t>to be used for the Offshore Converter Platform.</w:t>
      </w:r>
    </w:p>
    <w:p w14:paraId="6B9B6C50" w14:textId="3851543D" w:rsidR="009B6EED" w:rsidRPr="00B91524" w:rsidRDefault="009B6EED" w:rsidP="007908D8">
      <w:pPr>
        <w:pStyle w:val="Reportbodytextnumbering"/>
      </w:pPr>
      <w:r w:rsidRPr="00B91524">
        <w:t xml:space="preserve">The Secretary of State considered the effects of the proposed changes on the conclusions reached in the original DCO granted in 2015 (Department of Energy &amp; Climate Change, 2015). Of relevance to </w:t>
      </w:r>
      <w:r w:rsidR="00BF3AB6" w:rsidRPr="00B91524">
        <w:t xml:space="preserve">benthic </w:t>
      </w:r>
      <w:r w:rsidRPr="00B91524">
        <w:t xml:space="preserve">receptors the Habitats Regulation Assessment (“HRA”) (The Department for Business, Energy and Industrial Strategy, 2019) considered the potential effects on features of the </w:t>
      </w:r>
      <w:r w:rsidR="00BF3AB6" w:rsidRPr="00B91524">
        <w:t>Dogger Bank SAC of the use of monopiles for the Offshore Converter Platform</w:t>
      </w:r>
      <w:r w:rsidRPr="00B91524">
        <w:t>.</w:t>
      </w:r>
    </w:p>
    <w:p w14:paraId="483AE846" w14:textId="0D2B054A" w:rsidR="009B6EED" w:rsidRPr="00B91524" w:rsidRDefault="009B6EED" w:rsidP="007908D8">
      <w:pPr>
        <w:pStyle w:val="Reportbodytextnumbering"/>
      </w:pPr>
      <w:r w:rsidRPr="00B91524">
        <w:t xml:space="preserve">The Secretary of State considered that the changes proposed would not compromise the conclusions of the assessments undertaken to support the original consent and therefore concluded that the proposed changes would not </w:t>
      </w:r>
      <w:r w:rsidR="00B83C50" w:rsidRPr="00B91524">
        <w:t xml:space="preserve">be </w:t>
      </w:r>
      <w:r w:rsidRPr="00B91524">
        <w:t>likely to have a significant effect on the SAC.</w:t>
      </w:r>
    </w:p>
    <w:p w14:paraId="76000B8C" w14:textId="46ABCF42" w:rsidR="00013730" w:rsidRPr="00B91524" w:rsidRDefault="00013730">
      <w:pPr>
        <w:pStyle w:val="Heading2"/>
      </w:pPr>
      <w:bookmarkStart w:id="67" w:name="_Toc74670325"/>
      <w:r w:rsidRPr="00B91524">
        <w:t>Benthic monitoring note</w:t>
      </w:r>
      <w:bookmarkEnd w:id="67"/>
    </w:p>
    <w:p w14:paraId="41367A3D" w14:textId="1EFC372D" w:rsidR="00013730" w:rsidRPr="00B91524" w:rsidRDefault="00013730" w:rsidP="007908D8">
      <w:pPr>
        <w:pStyle w:val="Reportbodytextnumbering"/>
        <w:rPr>
          <w:lang w:eastAsia="en-US"/>
        </w:rPr>
      </w:pPr>
      <w:r w:rsidRPr="00B91524">
        <w:t>A Benthic Monitoring Note was submitted to Natural England in advance of a workshop held on 20th August 2019 (SOWFL, 2019</w:t>
      </w:r>
      <w:r w:rsidR="006A7072" w:rsidRPr="00B91524">
        <w:t>c</w:t>
      </w:r>
      <w:r w:rsidRPr="00B91524">
        <w:t xml:space="preserve">).  </w:t>
      </w:r>
      <w:r w:rsidR="00825667" w:rsidRPr="00B91524">
        <w:t xml:space="preserve">This Note provided an overview of the </w:t>
      </w:r>
      <w:r w:rsidR="00E70CE4" w:rsidRPr="00B91524">
        <w:t xml:space="preserve">site investigations planned for 2020 and the </w:t>
      </w:r>
      <w:r w:rsidR="00825667" w:rsidRPr="00B91524">
        <w:t xml:space="preserve">approach to benthic monitoring and development of the </w:t>
      </w:r>
      <w:r w:rsidR="005639DA" w:rsidRPr="00B91524">
        <w:t>BMP</w:t>
      </w:r>
      <w:r w:rsidR="00825667" w:rsidRPr="00B91524">
        <w:t xml:space="preserve">.  </w:t>
      </w:r>
      <w:r w:rsidRPr="00B91524">
        <w:t>No formal comments were requested on this Note, but minutes of the meeting were agreed</w:t>
      </w:r>
      <w:r w:rsidR="008F45DE" w:rsidRPr="00B91524">
        <w:t xml:space="preserve"> and issued in October 2019</w:t>
      </w:r>
      <w:r w:rsidR="005639DA" w:rsidRPr="00B91524">
        <w:t>.</w:t>
      </w:r>
      <w:r w:rsidRPr="00B91524">
        <w:t xml:space="preserve">  </w:t>
      </w:r>
    </w:p>
    <w:p w14:paraId="10CF76ED" w14:textId="113E8158" w:rsidR="004A465E" w:rsidRPr="00B91524" w:rsidRDefault="00323F13">
      <w:pPr>
        <w:pStyle w:val="Heading2"/>
      </w:pPr>
      <w:bookmarkStart w:id="68" w:name="_Toc74670326"/>
      <w:r w:rsidRPr="00B91524">
        <w:t>BMP</w:t>
      </w:r>
      <w:r w:rsidR="00013730" w:rsidRPr="00B91524">
        <w:t xml:space="preserve">: </w:t>
      </w:r>
      <w:r w:rsidR="004A465E" w:rsidRPr="00B91524">
        <w:t>Supporting Studies document</w:t>
      </w:r>
      <w:bookmarkEnd w:id="68"/>
    </w:p>
    <w:p w14:paraId="7F420C88" w14:textId="0AC1AF96" w:rsidR="00A70848" w:rsidRPr="00B91524" w:rsidRDefault="00013730" w:rsidP="007908D8">
      <w:pPr>
        <w:pStyle w:val="Reportbodytextnumbering"/>
      </w:pPr>
      <w:r w:rsidRPr="00B91524">
        <w:t xml:space="preserve">Following </w:t>
      </w:r>
      <w:r w:rsidR="005C1FA1" w:rsidRPr="00B91524">
        <w:t>the</w:t>
      </w:r>
      <w:r w:rsidRPr="00B91524">
        <w:t xml:space="preserve"> workshop</w:t>
      </w:r>
      <w:r w:rsidR="005C1FA1" w:rsidRPr="00B91524">
        <w:t xml:space="preserve"> mentioned above</w:t>
      </w:r>
      <w:r w:rsidRPr="00B91524">
        <w:t xml:space="preserve"> and a review of the minutes of the meeting, SOWFL </w:t>
      </w:r>
      <w:r w:rsidR="00397BB3" w:rsidRPr="00B91524">
        <w:t xml:space="preserve">prepared a </w:t>
      </w:r>
      <w:r w:rsidRPr="00B91524">
        <w:t>BMP</w:t>
      </w:r>
      <w:r w:rsidR="00397BB3" w:rsidRPr="00B91524">
        <w:t>:</w:t>
      </w:r>
      <w:r w:rsidRPr="00B91524">
        <w:t xml:space="preserve"> Supporting Studies document and issued it in November 2019 to the MMO and Natural England</w:t>
      </w:r>
      <w:r w:rsidR="00807845" w:rsidRPr="00B91524">
        <w:t xml:space="preserve"> (SOWFL, 2019</w:t>
      </w:r>
      <w:r w:rsidR="006A7072" w:rsidRPr="00B91524">
        <w:t>b</w:t>
      </w:r>
      <w:r w:rsidR="00807845" w:rsidRPr="00B91524">
        <w:t>)</w:t>
      </w:r>
      <w:r w:rsidRPr="00B91524">
        <w:t xml:space="preserve">.  This Supporting Studies document </w:t>
      </w:r>
      <w:r w:rsidR="004A465E" w:rsidRPr="00B91524">
        <w:t xml:space="preserve">set out a) the existing benthic ecology position b) the additional data to be collected during the summer 2020 SI survey </w:t>
      </w:r>
      <w:proofErr w:type="spellStart"/>
      <w:r w:rsidR="004A465E" w:rsidRPr="00B91524">
        <w:t>programme</w:t>
      </w:r>
      <w:proofErr w:type="spellEnd"/>
      <w:r w:rsidR="004A465E" w:rsidRPr="00B91524">
        <w:t xml:space="preserve"> and c) the planned approach to the development of the BMP. N</w:t>
      </w:r>
      <w:r w:rsidRPr="00B91524">
        <w:t xml:space="preserve">atural England and the MMO (incorporating advice from </w:t>
      </w:r>
      <w:proofErr w:type="spellStart"/>
      <w:r w:rsidR="004A465E" w:rsidRPr="00B91524">
        <w:t>Cefas</w:t>
      </w:r>
      <w:proofErr w:type="spellEnd"/>
      <w:r w:rsidRPr="00B91524">
        <w:t>)</w:t>
      </w:r>
      <w:r w:rsidR="004A465E" w:rsidRPr="00B91524">
        <w:t xml:space="preserve"> provided discretionary advice (on 20th December 2019 and 10th January 2020 respectively) </w:t>
      </w:r>
      <w:r w:rsidR="00A70848" w:rsidRPr="00B91524">
        <w:t xml:space="preserve">which </w:t>
      </w:r>
      <w:r w:rsidR="004A465E" w:rsidRPr="00B91524">
        <w:t xml:space="preserve">highlighted a number of concerns namely with regards to the number of ground-truthing stations to be visited during the summer 2020 SI survey </w:t>
      </w:r>
      <w:proofErr w:type="spellStart"/>
      <w:r w:rsidR="004A465E" w:rsidRPr="00B91524">
        <w:t>programme</w:t>
      </w:r>
      <w:proofErr w:type="spellEnd"/>
      <w:r w:rsidR="004A465E" w:rsidRPr="00B91524">
        <w:t xml:space="preserve"> and the limitations of the resulting habitat mapping. Responses to these comments were discussed during a teleconference held with the MMO</w:t>
      </w:r>
      <w:r w:rsidR="006A7072" w:rsidRPr="00B91524">
        <w:t xml:space="preserve">, </w:t>
      </w:r>
      <w:proofErr w:type="spellStart"/>
      <w:r w:rsidR="006A7072" w:rsidRPr="00B91524">
        <w:t>Cefas</w:t>
      </w:r>
      <w:proofErr w:type="spellEnd"/>
      <w:r w:rsidR="004A465E" w:rsidRPr="00B91524">
        <w:t xml:space="preserve"> and N</w:t>
      </w:r>
      <w:r w:rsidR="006A7072" w:rsidRPr="00B91524">
        <w:t xml:space="preserve">atural England </w:t>
      </w:r>
      <w:r w:rsidR="004A465E" w:rsidRPr="00B91524">
        <w:t xml:space="preserve">on 25th February 2020. This provided an update on the ground-truthing sampling to be conducted during the summer 2020 SI survey </w:t>
      </w:r>
      <w:proofErr w:type="spellStart"/>
      <w:r w:rsidR="004A465E" w:rsidRPr="00B91524">
        <w:t>programme</w:t>
      </w:r>
      <w:proofErr w:type="spellEnd"/>
      <w:r w:rsidR="004A465E" w:rsidRPr="00B91524">
        <w:t xml:space="preserve"> to include the collection of approximately 100 additional surface sediment samples along the export cable route and array area for subsequent</w:t>
      </w:r>
      <w:r w:rsidR="008F4F69" w:rsidRPr="00B91524">
        <w:t xml:space="preserve"> Particle Size Distribution</w:t>
      </w:r>
      <w:r w:rsidR="004A465E" w:rsidRPr="00B91524">
        <w:t xml:space="preserve"> </w:t>
      </w:r>
      <w:r w:rsidR="008F4F69" w:rsidRPr="00B91524">
        <w:t>(</w:t>
      </w:r>
      <w:r w:rsidR="004A465E" w:rsidRPr="00B91524">
        <w:t>PSD</w:t>
      </w:r>
      <w:r w:rsidR="008F4F69" w:rsidRPr="00B91524">
        <w:t>)</w:t>
      </w:r>
      <w:r w:rsidR="004A465E" w:rsidRPr="00B91524">
        <w:t xml:space="preserve"> analysis. </w:t>
      </w:r>
    </w:p>
    <w:p w14:paraId="0B3CA89D" w14:textId="22E6E75B" w:rsidR="00A70848" w:rsidRPr="00B91524" w:rsidRDefault="004C0186" w:rsidP="001B618A">
      <w:pPr>
        <w:pStyle w:val="Heading2"/>
      </w:pPr>
      <w:bookmarkStart w:id="69" w:name="_Toc74670327"/>
      <w:r w:rsidRPr="00B91524">
        <w:lastRenderedPageBreak/>
        <w:t>Characterisation sampling mapping</w:t>
      </w:r>
      <w:bookmarkEnd w:id="69"/>
    </w:p>
    <w:p w14:paraId="02120FE2" w14:textId="38F9425D" w:rsidR="004A465E" w:rsidRPr="00B91524" w:rsidRDefault="00413BC0" w:rsidP="007908D8">
      <w:pPr>
        <w:pStyle w:val="Reportbodytextnumbering"/>
      </w:pPr>
      <w:r w:rsidRPr="00B91524">
        <w:t xml:space="preserve">SOWFL provided the locations and rationale for the </w:t>
      </w:r>
      <w:r w:rsidR="00F10F5C" w:rsidRPr="00B91524">
        <w:t>25 benthic grab sample sites which form</w:t>
      </w:r>
      <w:r w:rsidR="007B5C9E" w:rsidRPr="00B91524">
        <w:t>ed</w:t>
      </w:r>
      <w:r w:rsidR="00F10F5C" w:rsidRPr="00B91524">
        <w:t xml:space="preserve"> part of the </w:t>
      </w:r>
      <w:r w:rsidR="0002766F" w:rsidRPr="00B91524">
        <w:t xml:space="preserve">2020 </w:t>
      </w:r>
      <w:r w:rsidR="005959C5" w:rsidRPr="00B91524">
        <w:t xml:space="preserve">ground truthing </w:t>
      </w:r>
      <w:r w:rsidRPr="00B91524">
        <w:t>survey</w:t>
      </w:r>
      <w:r w:rsidR="005959C5" w:rsidRPr="00B91524">
        <w:t xml:space="preserve"> (</w:t>
      </w:r>
      <w:r w:rsidR="008F4F69" w:rsidRPr="00B91524">
        <w:t xml:space="preserve">see Appendix </w:t>
      </w:r>
      <w:r w:rsidR="000502CC" w:rsidRPr="00B91524">
        <w:t>B</w:t>
      </w:r>
      <w:r w:rsidR="005959C5" w:rsidRPr="00B91524">
        <w:t>)</w:t>
      </w:r>
      <w:r w:rsidR="006A7072" w:rsidRPr="00B91524">
        <w:t xml:space="preserve"> </w:t>
      </w:r>
      <w:r w:rsidRPr="00B91524">
        <w:t xml:space="preserve">to the MMO, </w:t>
      </w:r>
      <w:proofErr w:type="spellStart"/>
      <w:r w:rsidRPr="00B91524">
        <w:t>Cefas</w:t>
      </w:r>
      <w:proofErr w:type="spellEnd"/>
      <w:r w:rsidRPr="00B91524">
        <w:t xml:space="preserve"> and Natural England via an online mapping application in April and May 2020. </w:t>
      </w:r>
      <w:r w:rsidR="0002766F" w:rsidRPr="00B91524">
        <w:t>Details of</w:t>
      </w:r>
      <w:r w:rsidR="004A465E" w:rsidRPr="00B91524">
        <w:t xml:space="preserve"> the </w:t>
      </w:r>
      <w:r w:rsidR="00F10F5C" w:rsidRPr="00B91524">
        <w:t xml:space="preserve">additional 100 sediment </w:t>
      </w:r>
      <w:r w:rsidR="004A465E" w:rsidRPr="00B91524">
        <w:t>sampl</w:t>
      </w:r>
      <w:r w:rsidR="00F10F5C" w:rsidRPr="00B91524">
        <w:t>e locations</w:t>
      </w:r>
      <w:r w:rsidR="00C42C5D" w:rsidRPr="00B91524">
        <w:t xml:space="preserve"> collected during the 2020 SI</w:t>
      </w:r>
      <w:r w:rsidR="00CC49AB" w:rsidRPr="00B91524">
        <w:t>,</w:t>
      </w:r>
      <w:r w:rsidR="00F10F5C" w:rsidRPr="00B91524">
        <w:t xml:space="preserve"> which further inform</w:t>
      </w:r>
      <w:r w:rsidR="007B5C9E" w:rsidRPr="00B91524">
        <w:t>ed</w:t>
      </w:r>
      <w:r w:rsidR="00F10F5C" w:rsidRPr="00B91524">
        <w:t xml:space="preserve"> the updating of the habitat map for the area</w:t>
      </w:r>
      <w:r w:rsidR="00CC49AB" w:rsidRPr="00B91524">
        <w:t>,</w:t>
      </w:r>
      <w:r w:rsidR="00F10F5C" w:rsidRPr="00B91524">
        <w:t xml:space="preserve"> </w:t>
      </w:r>
      <w:r w:rsidR="004A465E" w:rsidRPr="00B91524">
        <w:t>was subsequently provided to the MMO, N</w:t>
      </w:r>
      <w:r w:rsidR="00DB360E" w:rsidRPr="00B91524">
        <w:t>atural England</w:t>
      </w:r>
      <w:r w:rsidR="004A465E" w:rsidRPr="00B91524">
        <w:t xml:space="preserve"> and </w:t>
      </w:r>
      <w:proofErr w:type="spellStart"/>
      <w:r w:rsidR="004A465E" w:rsidRPr="00B91524">
        <w:t>Cefas</w:t>
      </w:r>
      <w:proofErr w:type="spellEnd"/>
      <w:r w:rsidR="004A465E" w:rsidRPr="00B91524">
        <w:t xml:space="preserve"> via </w:t>
      </w:r>
      <w:r w:rsidR="00CC49AB" w:rsidRPr="00B91524">
        <w:t>the</w:t>
      </w:r>
      <w:r w:rsidR="004A465E" w:rsidRPr="00B91524">
        <w:t xml:space="preserve"> online mapping application.</w:t>
      </w:r>
      <w:r w:rsidR="00F10F5C" w:rsidRPr="00B91524">
        <w:t xml:space="preserve"> </w:t>
      </w:r>
      <w:r w:rsidR="00F10F5C" w:rsidRPr="00B91524">
        <w:rPr>
          <w:rFonts w:ascii="ArialMT" w:eastAsiaTheme="minorHAnsi" w:hAnsi="ArialMT" w:cs="ArialMT"/>
        </w:rPr>
        <w:t xml:space="preserve">Natural England acknowledged </w:t>
      </w:r>
      <w:r w:rsidR="00D51563" w:rsidRPr="00B91524">
        <w:rPr>
          <w:rFonts w:ascii="ArialMT" w:eastAsiaTheme="minorHAnsi" w:hAnsi="ArialMT" w:cs="ArialMT"/>
        </w:rPr>
        <w:t>SOWFL</w:t>
      </w:r>
      <w:r w:rsidR="00F10F5C" w:rsidRPr="00B91524">
        <w:rPr>
          <w:rFonts w:ascii="ArialMT" w:eastAsiaTheme="minorHAnsi" w:hAnsi="ArialMT" w:cs="ArialMT"/>
        </w:rPr>
        <w:t xml:space="preserve">’s comments regarding the quantity of samples but, </w:t>
      </w:r>
      <w:r w:rsidR="00F10F5C" w:rsidRPr="00B91524">
        <w:rPr>
          <w:rFonts w:eastAsiaTheme="minorHAnsi" w:cs="Arial"/>
        </w:rPr>
        <w:t>remain</w:t>
      </w:r>
      <w:r w:rsidR="00F10F5C" w:rsidRPr="00B91524">
        <w:t>ed</w:t>
      </w:r>
      <w:r w:rsidR="00F10F5C" w:rsidRPr="00B91524">
        <w:rPr>
          <w:rFonts w:eastAsiaTheme="minorHAnsi" w:cs="Arial"/>
        </w:rPr>
        <w:t xml:space="preserve"> of the view that further benthic samples within the Dogger Bank S</w:t>
      </w:r>
      <w:r w:rsidR="00DB360E" w:rsidRPr="00B91524">
        <w:rPr>
          <w:rFonts w:eastAsiaTheme="minorHAnsi" w:cs="Arial"/>
        </w:rPr>
        <w:t>AC</w:t>
      </w:r>
      <w:r w:rsidR="00F10F5C" w:rsidRPr="00B91524">
        <w:rPr>
          <w:rFonts w:eastAsiaTheme="minorHAnsi" w:cs="Arial"/>
        </w:rPr>
        <w:t xml:space="preserve"> would be beneficial</w:t>
      </w:r>
      <w:r w:rsidR="00FF73EB" w:rsidRPr="00B91524">
        <w:rPr>
          <w:rFonts w:eastAsiaTheme="minorHAnsi" w:cs="Arial"/>
        </w:rPr>
        <w:t>.</w:t>
      </w:r>
      <w:r w:rsidR="00F10F5C" w:rsidRPr="00B91524">
        <w:t xml:space="preserve"> As such</w:t>
      </w:r>
      <w:r w:rsidR="008F4F69" w:rsidRPr="00B91524">
        <w:t>,</w:t>
      </w:r>
      <w:r w:rsidR="00F10F5C" w:rsidRPr="00B91524">
        <w:t xml:space="preserve"> additional </w:t>
      </w:r>
      <w:proofErr w:type="spellStart"/>
      <w:r w:rsidR="00C42C5D" w:rsidRPr="00B91524">
        <w:t>characterisation</w:t>
      </w:r>
      <w:proofErr w:type="spellEnd"/>
      <w:r w:rsidR="00C42C5D" w:rsidRPr="00B91524">
        <w:t xml:space="preserve"> </w:t>
      </w:r>
      <w:r w:rsidR="00F10F5C" w:rsidRPr="00B91524">
        <w:t xml:space="preserve">data for the SAC </w:t>
      </w:r>
      <w:r w:rsidR="00F30091" w:rsidRPr="00B91524">
        <w:t>were collected during summer 2020 as part of</w:t>
      </w:r>
      <w:r w:rsidR="00F10F5C" w:rsidRPr="00B91524">
        <w:t xml:space="preserve"> ongoing </w:t>
      </w:r>
      <w:r w:rsidR="002D57DD" w:rsidRPr="00B91524">
        <w:t>long-term</w:t>
      </w:r>
      <w:r w:rsidR="00F10F5C" w:rsidRPr="00B91524">
        <w:t xml:space="preserve"> research </w:t>
      </w:r>
      <w:proofErr w:type="spellStart"/>
      <w:r w:rsidR="00F10F5C" w:rsidRPr="00B91524">
        <w:t>programmes</w:t>
      </w:r>
      <w:proofErr w:type="spellEnd"/>
      <w:r w:rsidR="00F10F5C" w:rsidRPr="00B91524">
        <w:t xml:space="preserve"> </w:t>
      </w:r>
      <w:r w:rsidR="00D07DA7" w:rsidRPr="00B91524">
        <w:t>(</w:t>
      </w:r>
      <w:r w:rsidR="008F4F69" w:rsidRPr="00B91524">
        <w:t xml:space="preserve">see Section </w:t>
      </w:r>
      <w:r w:rsidR="008F4F69" w:rsidRPr="00B91524">
        <w:fldChar w:fldCharType="begin"/>
      </w:r>
      <w:r w:rsidR="008F4F69" w:rsidRPr="00B91524">
        <w:instrText xml:space="preserve"> REF _Ref48648357 \r \h </w:instrText>
      </w:r>
      <w:r w:rsidR="008F4F69" w:rsidRPr="00B91524">
        <w:fldChar w:fldCharType="separate"/>
      </w:r>
      <w:r w:rsidR="00683595">
        <w:t>3.8</w:t>
      </w:r>
      <w:r w:rsidR="008F4F69" w:rsidRPr="00B91524">
        <w:fldChar w:fldCharType="end"/>
      </w:r>
      <w:r w:rsidR="008F4F69" w:rsidRPr="00B91524">
        <w:t xml:space="preserve"> and Appendix </w:t>
      </w:r>
      <w:r w:rsidR="000502CC" w:rsidRPr="00B91524">
        <w:t>B</w:t>
      </w:r>
      <w:r w:rsidR="008F4F69" w:rsidRPr="00B91524">
        <w:t>)</w:t>
      </w:r>
      <w:r w:rsidR="008F4F69" w:rsidRPr="00B91524">
        <w:rPr>
          <w:rStyle w:val="CommentReference"/>
          <w:rFonts w:eastAsia="Times New Roman" w:cs="Times New Roman"/>
          <w:lang w:val="en-GB" w:eastAsia="en-US"/>
        </w:rPr>
        <w:t>.</w:t>
      </w:r>
      <w:r w:rsidR="00397BB3" w:rsidRPr="00B91524">
        <w:t xml:space="preserve"> </w:t>
      </w:r>
    </w:p>
    <w:p w14:paraId="0B2B065E" w14:textId="5CBA1325" w:rsidR="006523F4" w:rsidRPr="00B91524" w:rsidRDefault="006523F4" w:rsidP="001B618A">
      <w:pPr>
        <w:pStyle w:val="Heading2"/>
      </w:pPr>
      <w:bookmarkStart w:id="70" w:name="_Toc40437687"/>
      <w:bookmarkStart w:id="71" w:name="_Toc41050573"/>
      <w:bookmarkStart w:id="72" w:name="_Ref48648357"/>
      <w:bookmarkStart w:id="73" w:name="_Toc74670328"/>
      <w:r w:rsidRPr="00B91524">
        <w:t xml:space="preserve">Engagement with </w:t>
      </w:r>
      <w:bookmarkEnd w:id="70"/>
      <w:bookmarkEnd w:id="71"/>
      <w:r w:rsidR="00620714" w:rsidRPr="00B91524">
        <w:t>senckenberg research institute</w:t>
      </w:r>
      <w:bookmarkEnd w:id="72"/>
      <w:bookmarkEnd w:id="73"/>
    </w:p>
    <w:p w14:paraId="01C7C76D" w14:textId="6CCB86CE" w:rsidR="00CE4D09" w:rsidRPr="00B91524" w:rsidRDefault="00CE4D09" w:rsidP="007908D8">
      <w:pPr>
        <w:pStyle w:val="Reportbodytextnumbering"/>
        <w:rPr>
          <w:rStyle w:val="CommentReference"/>
          <w:sz w:val="22"/>
          <w:szCs w:val="22"/>
        </w:rPr>
      </w:pPr>
      <w:r w:rsidRPr="00B91524">
        <w:t xml:space="preserve">As </w:t>
      </w:r>
      <w:r w:rsidR="001B618A" w:rsidRPr="00B91524">
        <w:t xml:space="preserve">set out in Appendix </w:t>
      </w:r>
      <w:r w:rsidR="000502CC" w:rsidRPr="00B91524">
        <w:t>B</w:t>
      </w:r>
      <w:r w:rsidRPr="00B91524">
        <w:t xml:space="preserve">, </w:t>
      </w:r>
      <w:bookmarkStart w:id="74" w:name="_Hlk48644068"/>
      <w:proofErr w:type="spellStart"/>
      <w:r w:rsidR="001B618A" w:rsidRPr="00B91524">
        <w:t>Senckenberg</w:t>
      </w:r>
      <w:proofErr w:type="spellEnd"/>
      <w:r w:rsidR="001B618A" w:rsidRPr="00B91524">
        <w:t xml:space="preserve"> Research Institut</w:t>
      </w:r>
      <w:bookmarkEnd w:id="74"/>
      <w:r w:rsidR="001B618A" w:rsidRPr="00B91524">
        <w:t>e (</w:t>
      </w:r>
      <w:r w:rsidRPr="00B91524">
        <w:t>SRI</w:t>
      </w:r>
      <w:r w:rsidR="001B618A" w:rsidRPr="00B91524">
        <w:t>)</w:t>
      </w:r>
      <w:r w:rsidRPr="00B91524">
        <w:t xml:space="preserve"> have been conducting surveys on the Dogger Bank since 1991.  </w:t>
      </w:r>
      <w:r w:rsidR="006523F4" w:rsidRPr="00B91524">
        <w:t xml:space="preserve">SOWFL and their </w:t>
      </w:r>
      <w:r w:rsidR="00226B1D" w:rsidRPr="00B91524">
        <w:t xml:space="preserve">benthic ecology </w:t>
      </w:r>
      <w:r w:rsidR="006523F4" w:rsidRPr="00B91524">
        <w:t xml:space="preserve">advisors, </w:t>
      </w:r>
      <w:r w:rsidR="00226B1D" w:rsidRPr="00B91524">
        <w:t>Ocean Ecology Ltd.</w:t>
      </w:r>
      <w:r w:rsidR="006523F4" w:rsidRPr="00B91524">
        <w:t xml:space="preserve">, have been engaging with </w:t>
      </w:r>
      <w:r w:rsidR="00226B1D" w:rsidRPr="00B91524">
        <w:t xml:space="preserve">SRI </w:t>
      </w:r>
      <w:r w:rsidR="006523F4" w:rsidRPr="00B91524">
        <w:t xml:space="preserve">since 2019 to </w:t>
      </w:r>
      <w:r w:rsidR="00226B1D" w:rsidRPr="00B91524">
        <w:t xml:space="preserve">understand ongoing research surveys being undertaken on the Dogger Bank </w:t>
      </w:r>
      <w:r w:rsidR="006523F4" w:rsidRPr="00B91524">
        <w:t xml:space="preserve">and </w:t>
      </w:r>
      <w:r w:rsidR="00226B1D" w:rsidRPr="00B91524">
        <w:t xml:space="preserve">to </w:t>
      </w:r>
      <w:r w:rsidR="006523F4" w:rsidRPr="00B91524">
        <w:t>consider opportunities for collaboration</w:t>
      </w:r>
      <w:r w:rsidR="00F30091" w:rsidRPr="00B91524">
        <w:t xml:space="preserve"> which has so far included the collection of 25 additional grab samples across the Dogger Bank SAC during summer 2020 as a means of supplementing the sampling undertaken as part of the SI </w:t>
      </w:r>
      <w:proofErr w:type="spellStart"/>
      <w:r w:rsidR="00F30091" w:rsidRPr="00B91524">
        <w:t>programme</w:t>
      </w:r>
      <w:proofErr w:type="spellEnd"/>
      <w:r w:rsidR="00F30091" w:rsidRPr="00B91524">
        <w:t xml:space="preserve"> (see Section </w:t>
      </w:r>
      <w:r w:rsidR="00F30091" w:rsidRPr="00B91524">
        <w:fldChar w:fldCharType="begin"/>
      </w:r>
      <w:r w:rsidR="00F30091" w:rsidRPr="00B91524">
        <w:instrText xml:space="preserve"> REF _Ref48648357 \r \h </w:instrText>
      </w:r>
      <w:r w:rsidR="0009712F" w:rsidRPr="00B91524">
        <w:instrText xml:space="preserve"> \* MERGEFORMAT </w:instrText>
      </w:r>
      <w:r w:rsidR="00F30091" w:rsidRPr="00B91524">
        <w:fldChar w:fldCharType="separate"/>
      </w:r>
      <w:r w:rsidR="00683595">
        <w:t>3.8</w:t>
      </w:r>
      <w:r w:rsidR="00F30091" w:rsidRPr="00B91524">
        <w:fldChar w:fldCharType="end"/>
      </w:r>
      <w:r w:rsidR="00F30091" w:rsidRPr="00B91524">
        <w:t xml:space="preserve"> and Appendix B)</w:t>
      </w:r>
      <w:r w:rsidR="00F30091" w:rsidRPr="00B91524">
        <w:rPr>
          <w:rStyle w:val="CommentReference"/>
          <w:rFonts w:eastAsia="Times New Roman" w:cs="Times New Roman"/>
          <w:lang w:val="en-GB" w:eastAsia="en-US"/>
        </w:rPr>
        <w:t>.</w:t>
      </w:r>
    </w:p>
    <w:p w14:paraId="37FE77BF" w14:textId="5F324C6E" w:rsidR="00E72818" w:rsidRPr="00B91524" w:rsidRDefault="00C65A35" w:rsidP="007908D8">
      <w:pPr>
        <w:pStyle w:val="Reportbodytextnumbering"/>
      </w:pPr>
      <w:r w:rsidRPr="00B91524">
        <w:t xml:space="preserve">Since completion of the </w:t>
      </w:r>
      <w:r w:rsidR="00071FF0" w:rsidRPr="00B91524">
        <w:t xml:space="preserve">2020 survey campaigns, </w:t>
      </w:r>
      <w:r w:rsidR="00750451" w:rsidRPr="00B91524">
        <w:t xml:space="preserve">SOWL and SRI have held further discussions and have agreed to further collaborate during the 2021 long-term monitoring survey and </w:t>
      </w:r>
      <w:r w:rsidR="00103EEF" w:rsidRPr="00B91524">
        <w:t xml:space="preserve">as part of a focused research study to be undertaken by SRI </w:t>
      </w:r>
      <w:r w:rsidR="001E4301" w:rsidRPr="00B91524">
        <w:t>aimed specifically at studying the potential regional scale impacts of SOWF and DBW A, B and C on the wider Dogger Bank. This additional study (known as ‘REWIND’) will essentially act to provide an increased sampling density complementing SRI’s long-term monitoring conducted annually since 1991</w:t>
      </w:r>
      <w:r w:rsidR="00CD6C14" w:rsidRPr="00B91524">
        <w:t xml:space="preserve">. SOWL have agreed to assist SRI </w:t>
      </w:r>
      <w:r w:rsidR="007105E9" w:rsidRPr="00B91524">
        <w:t xml:space="preserve">in the field </w:t>
      </w:r>
      <w:r w:rsidR="00CD6C14" w:rsidRPr="00B91524">
        <w:t xml:space="preserve">during the long-term and REWIND cruises in 2021 in exchange for </w:t>
      </w:r>
      <w:r w:rsidR="007527D3" w:rsidRPr="00B91524">
        <w:t xml:space="preserve">grab samples to be taken </w:t>
      </w:r>
      <w:r w:rsidR="00E72818" w:rsidRPr="00B91524">
        <w:t>at each of the</w:t>
      </w:r>
      <w:r w:rsidR="007527D3" w:rsidRPr="00B91524">
        <w:t xml:space="preserve"> long-term and REWIND </w:t>
      </w:r>
      <w:r w:rsidR="00E72818" w:rsidRPr="00B91524">
        <w:t xml:space="preserve">sampling stations equating to an additional 82 sampling stations (37 long-term and 45 REWIND). SOWL have </w:t>
      </w:r>
      <w:r w:rsidR="00A97DE6" w:rsidRPr="00B91524">
        <w:t xml:space="preserve">agreed to undertake </w:t>
      </w:r>
      <w:proofErr w:type="spellStart"/>
      <w:r w:rsidR="00A97DE6" w:rsidRPr="00B91524">
        <w:t>macrobenthic</w:t>
      </w:r>
      <w:proofErr w:type="spellEnd"/>
      <w:r w:rsidR="00A97DE6" w:rsidRPr="00B91524">
        <w:t xml:space="preserve"> and PSD analysis of all 82 sample </w:t>
      </w:r>
      <w:r w:rsidR="007A365F" w:rsidRPr="00B91524">
        <w:t xml:space="preserve">which will provide a robust dataset for assessing potential broad-scale regional </w:t>
      </w:r>
      <w:r w:rsidR="00F13A58" w:rsidRPr="00B91524">
        <w:t>impacts of SOWF and DBW A, B and C on the Dogger Bank</w:t>
      </w:r>
      <w:r w:rsidR="007105E9" w:rsidRPr="00B91524">
        <w:t xml:space="preserve"> SAC sandbank feature</w:t>
      </w:r>
      <w:r w:rsidR="001B5491" w:rsidRPr="00B91524">
        <w:t xml:space="preserve">. </w:t>
      </w:r>
    </w:p>
    <w:p w14:paraId="2AD8113D" w14:textId="14CE66E4" w:rsidR="00C65A35" w:rsidRPr="00B91524" w:rsidRDefault="009600CB" w:rsidP="003F5C45">
      <w:pPr>
        <w:pStyle w:val="Reportbodytextnumbering"/>
      </w:pPr>
      <w:r w:rsidRPr="00B91524">
        <w:t xml:space="preserve">SOWF and SRI have </w:t>
      </w:r>
      <w:r w:rsidR="0022582E" w:rsidRPr="00B91524">
        <w:t xml:space="preserve">worked </w:t>
      </w:r>
      <w:r w:rsidRPr="00B91524">
        <w:t xml:space="preserve">collaboratively </w:t>
      </w:r>
      <w:r w:rsidR="0022582E" w:rsidRPr="00B91524">
        <w:t xml:space="preserve">to </w:t>
      </w:r>
      <w:proofErr w:type="spellStart"/>
      <w:r w:rsidRPr="00B91524">
        <w:t>rationali</w:t>
      </w:r>
      <w:r w:rsidR="007443E4" w:rsidRPr="00B91524">
        <w:t>s</w:t>
      </w:r>
      <w:r w:rsidR="0022582E" w:rsidRPr="00B91524">
        <w:t>e</w:t>
      </w:r>
      <w:proofErr w:type="spellEnd"/>
      <w:r w:rsidR="0022582E" w:rsidRPr="00B91524">
        <w:t xml:space="preserve"> the SOWF BMP and SRI </w:t>
      </w:r>
      <w:r w:rsidR="009460BF" w:rsidRPr="00B91524">
        <w:t xml:space="preserve">sampling designs. This process has involved </w:t>
      </w:r>
      <w:proofErr w:type="spellStart"/>
      <w:r w:rsidR="009460BF" w:rsidRPr="00B91524">
        <w:t>micrositing</w:t>
      </w:r>
      <w:proofErr w:type="spellEnd"/>
      <w:r w:rsidR="009460BF" w:rsidRPr="00B91524">
        <w:t xml:space="preserve"> of the existing </w:t>
      </w:r>
      <w:r w:rsidR="007105E9" w:rsidRPr="00B91524">
        <w:t xml:space="preserve">SRI </w:t>
      </w:r>
      <w:r w:rsidR="009460BF" w:rsidRPr="00B91524">
        <w:t xml:space="preserve">long-term monitoring stations to ensure there will be no future conflicts with any of the planned OWF infrastructure across Dogger Bank whilst also </w:t>
      </w:r>
      <w:proofErr w:type="spellStart"/>
      <w:r w:rsidR="00500231" w:rsidRPr="00B91524">
        <w:t>microsting</w:t>
      </w:r>
      <w:proofErr w:type="spellEnd"/>
      <w:r w:rsidR="00500231" w:rsidRPr="00B91524">
        <w:t xml:space="preserve"> the planned REWIND sampling stations to optimize the design </w:t>
      </w:r>
      <w:r w:rsidR="00EE5381" w:rsidRPr="00B91524">
        <w:t xml:space="preserve">ensuring </w:t>
      </w:r>
      <w:r w:rsidR="003D02F5" w:rsidRPr="00B91524">
        <w:t>maximum</w:t>
      </w:r>
      <w:r w:rsidR="00EE5381" w:rsidRPr="00B91524">
        <w:t xml:space="preserve"> geographic coverage </w:t>
      </w:r>
      <w:r w:rsidR="003D02F5" w:rsidRPr="00B91524">
        <w:t xml:space="preserve">whilst also </w:t>
      </w:r>
      <w:r w:rsidR="00C90144" w:rsidRPr="00B91524">
        <w:t>avoiding</w:t>
      </w:r>
      <w:r w:rsidR="003D02F5" w:rsidRPr="00B91524">
        <w:t xml:space="preserve"> </w:t>
      </w:r>
      <w:r w:rsidR="004A0D06" w:rsidRPr="00B91524">
        <w:t xml:space="preserve">unnecessary </w:t>
      </w:r>
      <w:r w:rsidR="003D02F5" w:rsidRPr="00B91524">
        <w:t xml:space="preserve">repetition of </w:t>
      </w:r>
      <w:r w:rsidR="00C90144" w:rsidRPr="00B91524">
        <w:t>sampling</w:t>
      </w:r>
      <w:r w:rsidR="004A0D06" w:rsidRPr="00B91524">
        <w:t xml:space="preserve"> in similar areas, impact zones and/or habitats.</w:t>
      </w:r>
      <w:r w:rsidR="00A40DBF" w:rsidRPr="00B91524">
        <w:t xml:space="preserve"> The SRI sampling stations </w:t>
      </w:r>
      <w:r w:rsidR="004A0D06" w:rsidRPr="00B91524">
        <w:t>have</w:t>
      </w:r>
      <w:r w:rsidR="00A40DBF" w:rsidRPr="00B91524">
        <w:t xml:space="preserve"> also </w:t>
      </w:r>
      <w:r w:rsidR="004A0D06" w:rsidRPr="00B91524">
        <w:t xml:space="preserve">been </w:t>
      </w:r>
      <w:r w:rsidR="00A40DBF" w:rsidRPr="00B91524">
        <w:t>micro-</w:t>
      </w:r>
      <w:proofErr w:type="spellStart"/>
      <w:r w:rsidR="00A40DBF" w:rsidRPr="00B91524">
        <w:t>stied</w:t>
      </w:r>
      <w:proofErr w:type="spellEnd"/>
      <w:r w:rsidR="00A40DBF" w:rsidRPr="00B91524">
        <w:t xml:space="preserve"> to ensure they were not positioned within </w:t>
      </w:r>
      <w:r w:rsidR="00F5561C" w:rsidRPr="00B91524">
        <w:t xml:space="preserve">areas of predicted ‘nearfield’ impacts of infrastructure for which the targeted SOWF BMP sampling set out in this document </w:t>
      </w:r>
      <w:r w:rsidR="004A0D06" w:rsidRPr="00B91524">
        <w:t>will</w:t>
      </w:r>
      <w:r w:rsidR="00F5561C" w:rsidRPr="00B91524">
        <w:t xml:space="preserve"> monitor. </w:t>
      </w:r>
      <w:r w:rsidR="0003040F" w:rsidRPr="00B91524">
        <w:t xml:space="preserve">The sampling design for the SRI research </w:t>
      </w:r>
      <w:r w:rsidR="00FE1CE4" w:rsidRPr="00B91524">
        <w:t>cruises</w:t>
      </w:r>
      <w:r w:rsidR="0003040F" w:rsidRPr="00B91524">
        <w:t xml:space="preserve"> </w:t>
      </w:r>
      <w:r w:rsidR="00FE1CE4" w:rsidRPr="00B91524">
        <w:t xml:space="preserve">are set out in Appendix </w:t>
      </w:r>
      <w:r w:rsidR="007443E4" w:rsidRPr="00B91524">
        <w:t>K</w:t>
      </w:r>
      <w:r w:rsidR="00FE1CE4" w:rsidRPr="00B91524">
        <w:t xml:space="preserve"> accompanied by a </w:t>
      </w:r>
      <w:r w:rsidR="0003040F" w:rsidRPr="00B91524">
        <w:t xml:space="preserve">rationale for </w:t>
      </w:r>
      <w:proofErr w:type="spellStart"/>
      <w:r w:rsidR="0003040F" w:rsidRPr="00B91524">
        <w:t>micrositing</w:t>
      </w:r>
      <w:proofErr w:type="spellEnd"/>
      <w:r w:rsidR="0003040F" w:rsidRPr="00B91524">
        <w:t xml:space="preserve"> </w:t>
      </w:r>
      <w:r w:rsidR="00FE1CE4" w:rsidRPr="00B91524">
        <w:t xml:space="preserve">of each </w:t>
      </w:r>
      <w:r w:rsidR="003F5C45" w:rsidRPr="00B91524">
        <w:t>sampling station</w:t>
      </w:r>
      <w:r w:rsidR="00FE1CE4" w:rsidRPr="00B91524">
        <w:t>.</w:t>
      </w:r>
    </w:p>
    <w:p w14:paraId="11B58616" w14:textId="51DAE615" w:rsidR="00BD77EC" w:rsidRPr="00B91524" w:rsidRDefault="00BD77EC" w:rsidP="006A7072">
      <w:pPr>
        <w:pStyle w:val="Heading2"/>
      </w:pPr>
      <w:bookmarkStart w:id="75" w:name="_Toc74670329"/>
      <w:bookmarkStart w:id="76" w:name="_Toc40437688"/>
      <w:bookmarkStart w:id="77" w:name="_Toc41050574"/>
      <w:r w:rsidRPr="00B91524">
        <w:lastRenderedPageBreak/>
        <w:t>relevant guidance documents</w:t>
      </w:r>
      <w:bookmarkEnd w:id="75"/>
    </w:p>
    <w:p w14:paraId="75AC22D7" w14:textId="61291809" w:rsidR="00D11DCF" w:rsidRPr="00B91524" w:rsidRDefault="00BD77EC" w:rsidP="0022369E">
      <w:pPr>
        <w:pStyle w:val="Reportbodytextnumbering"/>
      </w:pPr>
      <w:r w:rsidRPr="00B91524">
        <w:rPr>
          <w:lang w:val="en-GB"/>
        </w:rPr>
        <w:t xml:space="preserve">The </w:t>
      </w:r>
      <w:r w:rsidR="00D40A2F" w:rsidRPr="00B91524">
        <w:rPr>
          <w:lang w:val="en-GB"/>
        </w:rPr>
        <w:t>MMO post-consent monitoring (PCM) review (MMO, 2014a) and corresponding MMO recommendations (MMO, 2014b)</w:t>
      </w:r>
      <w:r w:rsidRPr="00B91524">
        <w:t xml:space="preserve"> noted that there is limited value in broad-scale generic benthic monitoring to assess potential impacts of offshore windfarm developments and that efforts are better focused on key areas or receptors to be impacted. </w:t>
      </w:r>
      <w:r w:rsidR="00323F13" w:rsidRPr="00B91524">
        <w:t>This</w:t>
      </w:r>
      <w:r w:rsidRPr="00B91524">
        <w:t xml:space="preserve"> BMP </w:t>
      </w:r>
      <w:r w:rsidR="00323F13" w:rsidRPr="00B91524">
        <w:t>has</w:t>
      </w:r>
      <w:r w:rsidRPr="00B91524">
        <w:t xml:space="preserve"> therefore </w:t>
      </w:r>
      <w:r w:rsidR="00323F13" w:rsidRPr="00B91524">
        <w:t xml:space="preserve">been </w:t>
      </w:r>
      <w:r w:rsidRPr="00B91524">
        <w:t>focus</w:t>
      </w:r>
      <w:r w:rsidR="00323F13" w:rsidRPr="00B91524">
        <w:t>ed</w:t>
      </w:r>
      <w:r w:rsidRPr="00B91524">
        <w:t xml:space="preserve"> on monitoring </w:t>
      </w:r>
      <w:proofErr w:type="spellStart"/>
      <w:r w:rsidR="00F51211" w:rsidRPr="00B91524">
        <w:t>BHo</w:t>
      </w:r>
      <w:r w:rsidRPr="00B91524">
        <w:t>CEEI</w:t>
      </w:r>
      <w:proofErr w:type="spellEnd"/>
      <w:r w:rsidRPr="00B91524">
        <w:t xml:space="preserve"> that are most likely to be impacted by the construction and operation of the SOWF. This will follow approaches adopted at other UK offshore wind farm sites in the North Sea including Triton Knoll Offshore Wind Farm (</w:t>
      </w:r>
      <w:r w:rsidR="00BF0ADE" w:rsidRPr="00B91524">
        <w:t>RWE</w:t>
      </w:r>
      <w:r w:rsidRPr="00B91524">
        <w:t>).</w:t>
      </w:r>
      <w:r w:rsidR="001E5AA1" w:rsidRPr="00B91524">
        <w:rPr>
          <w:lang w:eastAsia="en-US"/>
        </w:rPr>
        <w:t xml:space="preserve"> </w:t>
      </w:r>
      <w:r w:rsidR="00D11DCF" w:rsidRPr="00B91524">
        <w:t xml:space="preserve">The approaches proposed will also allow </w:t>
      </w:r>
      <w:r w:rsidR="00B86012" w:rsidRPr="00B91524">
        <w:t>for assessment of</w:t>
      </w:r>
      <w:r w:rsidR="00D11DCF" w:rsidRPr="00B91524">
        <w:t xml:space="preserve"> consequential impacts of </w:t>
      </w:r>
      <w:proofErr w:type="spellStart"/>
      <w:r w:rsidR="00D11DCF" w:rsidRPr="00B91524">
        <w:t>colonisation</w:t>
      </w:r>
      <w:proofErr w:type="spellEnd"/>
      <w:r w:rsidR="00D11DCF" w:rsidRPr="00B91524">
        <w:t xml:space="preserve"> </w:t>
      </w:r>
      <w:r w:rsidR="00B86012" w:rsidRPr="00B91524">
        <w:t xml:space="preserve">of the project infrastructure </w:t>
      </w:r>
      <w:r w:rsidR="00D11DCF" w:rsidRPr="00B91524">
        <w:t>to adjacent peripheral seabed areas</w:t>
      </w:r>
      <w:r w:rsidR="00B86012" w:rsidRPr="00B91524">
        <w:t xml:space="preserve"> </w:t>
      </w:r>
      <w:r w:rsidR="00D11DCF" w:rsidRPr="00B91524">
        <w:t>help</w:t>
      </w:r>
      <w:r w:rsidR="00B86012" w:rsidRPr="00B91524">
        <w:t>ing</w:t>
      </w:r>
      <w:r w:rsidR="00D11DCF" w:rsidRPr="00B91524">
        <w:t xml:space="preserve"> to </w:t>
      </w:r>
      <w:r w:rsidR="00B86012" w:rsidRPr="00B91524">
        <w:t>establish</w:t>
      </w:r>
      <w:r w:rsidR="00D11DCF" w:rsidRPr="00B91524">
        <w:t xml:space="preserve"> whether ‘feeding halo’ effects or similar impacts occur (MMO, 2014</w:t>
      </w:r>
      <w:r w:rsidR="00B86012" w:rsidRPr="00B91524">
        <w:t>a</w:t>
      </w:r>
      <w:r w:rsidR="00D11DCF" w:rsidRPr="00B91524">
        <w:t xml:space="preserve">). </w:t>
      </w:r>
    </w:p>
    <w:p w14:paraId="08CD4807" w14:textId="0143CC9D" w:rsidR="006523F4" w:rsidRPr="00B91524" w:rsidRDefault="004C0186" w:rsidP="006523F4">
      <w:pPr>
        <w:pStyle w:val="Heading1"/>
        <w:rPr>
          <w:noProof/>
        </w:rPr>
      </w:pPr>
      <w:bookmarkStart w:id="78" w:name="_Ref46089103"/>
      <w:bookmarkStart w:id="79" w:name="_Ref46089133"/>
      <w:bookmarkStart w:id="80" w:name="_Ref46089198"/>
      <w:bookmarkStart w:id="81" w:name="_Toc74670330"/>
      <w:bookmarkStart w:id="82" w:name="_Toc41050575"/>
      <w:bookmarkEnd w:id="76"/>
      <w:bookmarkEnd w:id="77"/>
      <w:r w:rsidRPr="00B91524">
        <w:rPr>
          <w:noProof/>
        </w:rPr>
        <w:t>Aproach To</w:t>
      </w:r>
      <w:r w:rsidR="00E32B62" w:rsidRPr="00B91524">
        <w:rPr>
          <w:noProof/>
        </w:rPr>
        <w:t xml:space="preserve"> </w:t>
      </w:r>
      <w:r w:rsidR="006523F4" w:rsidRPr="00B91524">
        <w:rPr>
          <w:noProof/>
        </w:rPr>
        <w:t>benthic Monitoring</w:t>
      </w:r>
      <w:bookmarkEnd w:id="78"/>
      <w:bookmarkEnd w:id="79"/>
      <w:bookmarkEnd w:id="80"/>
      <w:bookmarkEnd w:id="81"/>
      <w:r w:rsidR="006523F4" w:rsidRPr="00B91524">
        <w:rPr>
          <w:noProof/>
        </w:rPr>
        <w:t xml:space="preserve"> </w:t>
      </w:r>
      <w:bookmarkEnd w:id="82"/>
    </w:p>
    <w:p w14:paraId="35F8643A" w14:textId="7F218176" w:rsidR="00F65A2A" w:rsidRPr="00B91524" w:rsidRDefault="004C0186" w:rsidP="006F3F9E">
      <w:pPr>
        <w:pStyle w:val="Heading2"/>
      </w:pPr>
      <w:bookmarkStart w:id="83" w:name="_Toc74670331"/>
      <w:r w:rsidRPr="00B91524">
        <w:t>Features</w:t>
      </w:r>
      <w:r w:rsidR="00441D16" w:rsidRPr="00B91524">
        <w:t xml:space="preserve"> of focus</w:t>
      </w:r>
      <w:bookmarkEnd w:id="83"/>
    </w:p>
    <w:p w14:paraId="3447C922" w14:textId="76A4F5C6" w:rsidR="00350D71" w:rsidRPr="00B91524" w:rsidRDefault="00350D71" w:rsidP="007908D8">
      <w:pPr>
        <w:pStyle w:val="Reportbodytextnumbering"/>
      </w:pPr>
      <w:r w:rsidRPr="00B91524">
        <w:t xml:space="preserve">Based on the current understanding of the benthic habitats found across the SOWF array and cable corridor areas (see Appendix </w:t>
      </w:r>
      <w:r w:rsidR="000502CC" w:rsidRPr="00B91524">
        <w:t>B</w:t>
      </w:r>
      <w:r w:rsidRPr="00B91524">
        <w:t>), the SOWF benthic monitoring will involve collection of</w:t>
      </w:r>
      <w:r w:rsidR="00650BB0" w:rsidRPr="00B91524">
        <w:t xml:space="preserve"> underwater</w:t>
      </w:r>
      <w:r w:rsidRPr="00B91524">
        <w:t xml:space="preserve"> imagery and grab samples for </w:t>
      </w:r>
      <w:proofErr w:type="spellStart"/>
      <w:r w:rsidRPr="00B91524">
        <w:t>macrobenthic</w:t>
      </w:r>
      <w:proofErr w:type="spellEnd"/>
      <w:r w:rsidRPr="00B91524">
        <w:t xml:space="preserve"> and PSD analysis.  Given the scale of the SOWF project</w:t>
      </w:r>
      <w:r w:rsidR="00F6174E" w:rsidRPr="00B91524">
        <w:t>,</w:t>
      </w:r>
      <w:r w:rsidR="0026251B" w:rsidRPr="00B91524">
        <w:t xml:space="preserve"> </w:t>
      </w:r>
      <w:r w:rsidRPr="00B91524">
        <w:t>length of the cable corridor</w:t>
      </w:r>
      <w:r w:rsidR="00F6174E" w:rsidRPr="00B91524">
        <w:t xml:space="preserve"> and effects predicted</w:t>
      </w:r>
      <w:r w:rsidR="00F552F9" w:rsidRPr="00B91524">
        <w:t xml:space="preserve"> as part of the EIA and HRA</w:t>
      </w:r>
      <w:r w:rsidRPr="00B91524">
        <w:t xml:space="preserve">, this sampling will be targeted only on </w:t>
      </w:r>
      <w:r w:rsidR="00980859" w:rsidRPr="00B91524">
        <w:t>Features of Focus (</w:t>
      </w:r>
      <w:proofErr w:type="spellStart"/>
      <w:r w:rsidR="00980859" w:rsidRPr="00B91524">
        <w:t>FoF</w:t>
      </w:r>
      <w:proofErr w:type="spellEnd"/>
      <w:r w:rsidR="00980859" w:rsidRPr="00B91524">
        <w:t>)</w:t>
      </w:r>
      <w:r w:rsidRPr="00B91524">
        <w:t xml:space="preserve"> that are likely to be affected by the construction and operation of SOWF and not </w:t>
      </w:r>
      <w:r w:rsidR="0026251B" w:rsidRPr="00B91524">
        <w:t xml:space="preserve">all of </w:t>
      </w:r>
      <w:r w:rsidRPr="00B91524">
        <w:t xml:space="preserve">those present within the wider Order Limits. </w:t>
      </w:r>
    </w:p>
    <w:p w14:paraId="73E80C26" w14:textId="61B6FA1E" w:rsidR="00980859" w:rsidRPr="00B91524" w:rsidRDefault="00640DBF" w:rsidP="007908D8">
      <w:pPr>
        <w:pStyle w:val="Reportbodytextnumbering"/>
      </w:pPr>
      <w:r w:rsidRPr="00B91524">
        <w:t xml:space="preserve">As discussed in Section </w:t>
      </w:r>
      <w:r w:rsidR="004C0186" w:rsidRPr="00B91524">
        <w:fldChar w:fldCharType="begin"/>
      </w:r>
      <w:r w:rsidR="004C0186" w:rsidRPr="00B91524">
        <w:instrText xml:space="preserve"> REF _Ref46089768 \r \h  \* MERGEFORMAT </w:instrText>
      </w:r>
      <w:r w:rsidR="004C0186" w:rsidRPr="00B91524">
        <w:fldChar w:fldCharType="separate"/>
      </w:r>
      <w:r w:rsidR="00683595">
        <w:t>1.3</w:t>
      </w:r>
      <w:r w:rsidR="004C0186" w:rsidRPr="00B91524">
        <w:fldChar w:fldCharType="end"/>
      </w:r>
      <w:r w:rsidRPr="00B91524">
        <w:t xml:space="preserve"> </w:t>
      </w:r>
      <w:r w:rsidR="00F6174E" w:rsidRPr="00B91524">
        <w:t>and presented in</w:t>
      </w:r>
      <w:r w:rsidR="00313451" w:rsidRPr="00B91524">
        <w:t xml:space="preserve"> </w:t>
      </w:r>
      <w:r w:rsidR="00313451" w:rsidRPr="00B91524">
        <w:fldChar w:fldCharType="begin"/>
      </w:r>
      <w:r w:rsidR="00313451" w:rsidRPr="00B91524">
        <w:instrText xml:space="preserve"> REF _Ref45269536 \h  \* MERGEFORMAT </w:instrText>
      </w:r>
      <w:r w:rsidR="00313451" w:rsidRPr="00B91524">
        <w:fldChar w:fldCharType="separate"/>
      </w:r>
      <w:r w:rsidR="00683595" w:rsidRPr="00B91524">
        <w:t xml:space="preserve">Table </w:t>
      </w:r>
      <w:r w:rsidR="00683595">
        <w:rPr>
          <w:noProof/>
        </w:rPr>
        <w:t>1</w:t>
      </w:r>
      <w:r w:rsidR="00683595" w:rsidRPr="00B91524">
        <w:rPr>
          <w:noProof/>
        </w:rPr>
        <w:noBreakHyphen/>
      </w:r>
      <w:r w:rsidR="00683595">
        <w:rPr>
          <w:noProof/>
        </w:rPr>
        <w:t>3</w:t>
      </w:r>
      <w:r w:rsidR="00313451" w:rsidRPr="00B91524">
        <w:fldChar w:fldCharType="end"/>
      </w:r>
      <w:r w:rsidR="00313451" w:rsidRPr="00B91524">
        <w:t>,</w:t>
      </w:r>
      <w:r w:rsidR="00F6174E" w:rsidRPr="00B91524">
        <w:t xml:space="preserve"> </w:t>
      </w:r>
      <w:r w:rsidRPr="00B91524">
        <w:t>the</w:t>
      </w:r>
      <w:r w:rsidR="00350D71" w:rsidRPr="00B91524">
        <w:t xml:space="preserve"> </w:t>
      </w:r>
      <w:r w:rsidRPr="00B91524">
        <w:t xml:space="preserve">SOWF benthic </w:t>
      </w:r>
      <w:r w:rsidR="00350D71" w:rsidRPr="00B91524">
        <w:t xml:space="preserve">monitoring requirements fall into two main categories - those relating to </w:t>
      </w:r>
      <w:proofErr w:type="spellStart"/>
      <w:r w:rsidR="00350D71" w:rsidRPr="00B91524">
        <w:t>BHoCEEI</w:t>
      </w:r>
      <w:proofErr w:type="spellEnd"/>
      <w:r w:rsidR="00350D71" w:rsidRPr="00B91524">
        <w:t xml:space="preserve"> (including </w:t>
      </w:r>
      <w:r w:rsidR="00FF0FAE" w:rsidRPr="00B91524">
        <w:t>sediment and reef habitats</w:t>
      </w:r>
      <w:r w:rsidR="00350D71" w:rsidRPr="00B91524">
        <w:t>) and other monitoring targeting particular receptors or focusing on potential impacts that were identified in the ES</w:t>
      </w:r>
      <w:r w:rsidRPr="00B91524">
        <w:t xml:space="preserve"> (i.e. INNS)</w:t>
      </w:r>
      <w:r w:rsidR="00980859" w:rsidRPr="00B91524">
        <w:t>.</w:t>
      </w:r>
      <w:r w:rsidR="00044E86" w:rsidRPr="00B91524">
        <w:t xml:space="preserve"> </w:t>
      </w:r>
      <w:r w:rsidR="00980859" w:rsidRPr="00B91524">
        <w:t xml:space="preserve">This section sets out the proposed approach for monitoring </w:t>
      </w:r>
      <w:r w:rsidR="00FF0FAE" w:rsidRPr="00B91524">
        <w:t>each</w:t>
      </w:r>
      <w:r w:rsidR="00980859" w:rsidRPr="00B91524">
        <w:t xml:space="preserve"> </w:t>
      </w:r>
      <w:r w:rsidR="00DF1098" w:rsidRPr="00B91524">
        <w:t xml:space="preserve">of these </w:t>
      </w:r>
      <w:r w:rsidR="00980859" w:rsidRPr="00B91524">
        <w:t xml:space="preserve">key </w:t>
      </w:r>
      <w:proofErr w:type="spellStart"/>
      <w:r w:rsidR="00044E86" w:rsidRPr="00B91524">
        <w:t>FoF</w:t>
      </w:r>
      <w:proofErr w:type="spellEnd"/>
      <w:r w:rsidR="00044E86" w:rsidRPr="00B91524">
        <w:t xml:space="preserve">. </w:t>
      </w:r>
    </w:p>
    <w:p w14:paraId="013002E9" w14:textId="1B12A589" w:rsidR="00640DBF" w:rsidRPr="00B91524" w:rsidRDefault="00FF0FAE" w:rsidP="00044E86">
      <w:pPr>
        <w:pStyle w:val="Heading2"/>
      </w:pPr>
      <w:bookmarkStart w:id="84" w:name="_Ref46089718"/>
      <w:bookmarkStart w:id="85" w:name="_Ref46089841"/>
      <w:bookmarkStart w:id="86" w:name="_Toc74670332"/>
      <w:r w:rsidRPr="00B91524">
        <w:t>Feature of Focus i: sediments</w:t>
      </w:r>
      <w:bookmarkEnd w:id="84"/>
      <w:bookmarkEnd w:id="85"/>
      <w:bookmarkEnd w:id="86"/>
    </w:p>
    <w:p w14:paraId="7461F9D4" w14:textId="20ADE62D" w:rsidR="00920F56" w:rsidRPr="00B91524" w:rsidRDefault="00920F56" w:rsidP="00920F56">
      <w:pPr>
        <w:pStyle w:val="Heading3"/>
      </w:pPr>
      <w:bookmarkStart w:id="87" w:name="_Toc74670333"/>
      <w:r w:rsidRPr="00B91524">
        <w:t>Objective</w:t>
      </w:r>
      <w:bookmarkEnd w:id="87"/>
    </w:p>
    <w:p w14:paraId="0E1E20C7" w14:textId="2070F46E" w:rsidR="00765FC2" w:rsidRPr="00B91524" w:rsidRDefault="00920F56" w:rsidP="0087019D">
      <w:pPr>
        <w:pStyle w:val="Reportbodytextnumbering"/>
      </w:pPr>
      <w:r w:rsidRPr="00B91524">
        <w:t xml:space="preserve">The main objective of the </w:t>
      </w:r>
      <w:r w:rsidR="0077630A" w:rsidRPr="00B91524">
        <w:t>monitoring</w:t>
      </w:r>
      <w:r w:rsidRPr="00B91524">
        <w:t xml:space="preserve"> focused on </w:t>
      </w:r>
      <w:r w:rsidR="0077630A" w:rsidRPr="00B91524">
        <w:t>assessing the</w:t>
      </w:r>
      <w:r w:rsidRPr="00B91524">
        <w:t xml:space="preserve"> </w:t>
      </w:r>
      <w:r w:rsidR="0006661E" w:rsidRPr="00B91524">
        <w:t xml:space="preserve">key </w:t>
      </w:r>
      <w:r w:rsidRPr="00B91524">
        <w:t>sediment habitats will be to</w:t>
      </w:r>
      <w:r w:rsidR="00FF1D0F" w:rsidRPr="00B91524">
        <w:t xml:space="preserve"> </w:t>
      </w:r>
      <w:proofErr w:type="spellStart"/>
      <w:r w:rsidRPr="00B91524">
        <w:t>characterise</w:t>
      </w:r>
      <w:proofErr w:type="spellEnd"/>
      <w:r w:rsidRPr="00B91524">
        <w:t xml:space="preserve"> and identify, where possible, any </w:t>
      </w:r>
      <w:proofErr w:type="spellStart"/>
      <w:r w:rsidR="00765FC2" w:rsidRPr="00B91524">
        <w:t>localised</w:t>
      </w:r>
      <w:proofErr w:type="spellEnd"/>
      <w:r w:rsidR="00765FC2" w:rsidRPr="00B91524">
        <w:t xml:space="preserve"> effects of the </w:t>
      </w:r>
      <w:r w:rsidR="00C45D10" w:rsidRPr="00B91524">
        <w:t>project infrastructure (foundations</w:t>
      </w:r>
      <w:r w:rsidR="00EA270F" w:rsidRPr="00B91524">
        <w:t xml:space="preserve"> and cables</w:t>
      </w:r>
      <w:r w:rsidR="00C45D10" w:rsidRPr="00B91524">
        <w:t>) on</w:t>
      </w:r>
      <w:r w:rsidRPr="00B91524">
        <w:t xml:space="preserve"> </w:t>
      </w:r>
      <w:r w:rsidR="0006661E" w:rsidRPr="00B91524">
        <w:t xml:space="preserve">key </w:t>
      </w:r>
      <w:r w:rsidRPr="00B91524">
        <w:t>sediment habitats</w:t>
      </w:r>
      <w:r w:rsidR="0087019D" w:rsidRPr="00B91524">
        <w:t xml:space="preserve"> and the </w:t>
      </w:r>
      <w:proofErr w:type="spellStart"/>
      <w:r w:rsidR="0087019D" w:rsidRPr="00B91524">
        <w:t>infaunal</w:t>
      </w:r>
      <w:proofErr w:type="spellEnd"/>
      <w:r w:rsidR="0087019D" w:rsidRPr="00B91524">
        <w:t xml:space="preserve"> and </w:t>
      </w:r>
      <w:proofErr w:type="spellStart"/>
      <w:r w:rsidR="0087019D" w:rsidRPr="00B91524">
        <w:t>epibiota</w:t>
      </w:r>
      <w:r w:rsidR="004503B1" w:rsidRPr="00B91524">
        <w:t>l</w:t>
      </w:r>
      <w:proofErr w:type="spellEnd"/>
      <w:r w:rsidR="004503B1" w:rsidRPr="00B91524">
        <w:t xml:space="preserve"> communities</w:t>
      </w:r>
      <w:r w:rsidR="0087019D" w:rsidRPr="00B91524">
        <w:t xml:space="preserve"> (including demersal</w:t>
      </w:r>
      <w:r w:rsidR="004503B1" w:rsidRPr="00B91524">
        <w:t xml:space="preserve"> </w:t>
      </w:r>
      <w:r w:rsidR="0087019D" w:rsidRPr="00B91524">
        <w:t>fish)</w:t>
      </w:r>
      <w:r w:rsidRPr="00B91524">
        <w:t xml:space="preserve"> found </w:t>
      </w:r>
      <w:r w:rsidR="00C45D10" w:rsidRPr="00B91524">
        <w:t>within the Dogger Bank SAC</w:t>
      </w:r>
      <w:r w:rsidR="00FF1D0F" w:rsidRPr="00B91524">
        <w:t xml:space="preserve"> as a means to validate the</w:t>
      </w:r>
      <w:r w:rsidR="0087019D" w:rsidRPr="00B91524">
        <w:t xml:space="preserve"> key</w:t>
      </w:r>
      <w:r w:rsidR="00FF1D0F" w:rsidRPr="00B91524">
        <w:t xml:space="preserve"> predictions made in the ES.</w:t>
      </w:r>
      <w:r w:rsidR="0087019D" w:rsidRPr="00B91524">
        <w:t xml:space="preserve"> It will also allow for the identification of non-native species to soft substrate habitats e.g. rock/hard substrate specialists which would not otherwise be present.   </w:t>
      </w:r>
    </w:p>
    <w:p w14:paraId="3860D92F" w14:textId="3A08698D" w:rsidR="00920F56" w:rsidRPr="00B91524" w:rsidRDefault="0087019D" w:rsidP="00765FC2">
      <w:pPr>
        <w:pStyle w:val="Heading3"/>
      </w:pPr>
      <w:bookmarkStart w:id="88" w:name="_Toc74670334"/>
      <w:r w:rsidRPr="00B91524">
        <w:t xml:space="preserve">Survey </w:t>
      </w:r>
      <w:r w:rsidR="0077630A" w:rsidRPr="00B91524">
        <w:t>design</w:t>
      </w:r>
      <w:bookmarkEnd w:id="88"/>
    </w:p>
    <w:p w14:paraId="647155D9" w14:textId="48640C06" w:rsidR="00431606" w:rsidRPr="00B91524" w:rsidRDefault="00765FC2" w:rsidP="007908D8">
      <w:pPr>
        <w:pStyle w:val="Reportbodytextnumbering"/>
      </w:pPr>
      <w:r w:rsidRPr="00B91524">
        <w:t>T</w:t>
      </w:r>
      <w:r w:rsidR="00920F56" w:rsidRPr="00B91524">
        <w:t xml:space="preserve">he habitat mapping </w:t>
      </w:r>
      <w:r w:rsidR="0057460D" w:rsidRPr="00B91524">
        <w:t xml:space="preserve">based on all available data across the area (see Appendix </w:t>
      </w:r>
      <w:r w:rsidR="00681F7A" w:rsidRPr="00B91524">
        <w:t>B</w:t>
      </w:r>
      <w:r w:rsidR="0057460D" w:rsidRPr="00B91524">
        <w:t xml:space="preserve"> and </w:t>
      </w:r>
      <w:r w:rsidR="007443E4" w:rsidRPr="00B91524">
        <w:t>L</w:t>
      </w:r>
      <w:r w:rsidR="0057460D" w:rsidRPr="00B91524">
        <w:t xml:space="preserve">) </w:t>
      </w:r>
      <w:r w:rsidR="00681F7A" w:rsidRPr="00B91524">
        <w:t xml:space="preserve">has been </w:t>
      </w:r>
      <w:r w:rsidR="00DB25E2" w:rsidRPr="00B91524">
        <w:t>considered alongside the outputs of the scour assessment</w:t>
      </w:r>
      <w:r w:rsidRPr="00B91524">
        <w:t xml:space="preserve"> to </w:t>
      </w:r>
      <w:r w:rsidR="00431606" w:rsidRPr="00B91524">
        <w:t>ensure</w:t>
      </w:r>
      <w:r w:rsidRPr="00B91524">
        <w:t xml:space="preserve"> a stratified sampling approach for monitoring </w:t>
      </w:r>
      <w:r w:rsidR="00C45D10" w:rsidRPr="00B91524">
        <w:t xml:space="preserve">the </w:t>
      </w:r>
      <w:r w:rsidRPr="00B91524">
        <w:t>key sediment habitats</w:t>
      </w:r>
      <w:r w:rsidR="00C45D10" w:rsidRPr="00B91524">
        <w:t xml:space="preserve"> within the </w:t>
      </w:r>
      <w:r w:rsidR="00C45D10" w:rsidRPr="00B91524">
        <w:lastRenderedPageBreak/>
        <w:t>Dogger Bank SAC</w:t>
      </w:r>
      <w:r w:rsidR="00920F56" w:rsidRPr="00B91524">
        <w:t xml:space="preserve">. The approach will survey a </w:t>
      </w:r>
      <w:r w:rsidR="00431606" w:rsidRPr="00B91524">
        <w:t xml:space="preserve">sample </w:t>
      </w:r>
      <w:r w:rsidR="003A4B6B" w:rsidRPr="00B91524">
        <w:t xml:space="preserve">of </w:t>
      </w:r>
      <w:r w:rsidR="00812E85" w:rsidRPr="00294036">
        <w:rPr>
          <w:highlight w:val="yellow"/>
        </w:rPr>
        <w:t>1</w:t>
      </w:r>
      <w:r w:rsidR="00294D7F" w:rsidRPr="00294036">
        <w:rPr>
          <w:highlight w:val="yellow"/>
        </w:rPr>
        <w:t>7</w:t>
      </w:r>
      <w:r w:rsidR="00920F56" w:rsidRPr="00B91524">
        <w:t xml:space="preserve"> infrastructure </w:t>
      </w:r>
      <w:r w:rsidR="00DB25E2" w:rsidRPr="00B91524">
        <w:t xml:space="preserve">locations </w:t>
      </w:r>
      <w:r w:rsidR="008B094B" w:rsidRPr="00B91524">
        <w:t>(foundation structures</w:t>
      </w:r>
      <w:r w:rsidR="004503B1" w:rsidRPr="00B91524">
        <w:t xml:space="preserve"> including the OCP</w:t>
      </w:r>
      <w:r w:rsidR="008B094B" w:rsidRPr="00B91524">
        <w:t xml:space="preserve"> </w:t>
      </w:r>
      <w:r w:rsidR="004503B1" w:rsidRPr="00B91524">
        <w:t xml:space="preserve">jacket </w:t>
      </w:r>
      <w:r w:rsidR="008B094B" w:rsidRPr="00B91524">
        <w:t xml:space="preserve">and any associated scour processes or scour protection, export cables and array cables) </w:t>
      </w:r>
      <w:r w:rsidR="004503B1" w:rsidRPr="00B91524">
        <w:t>representative of the varying depths</w:t>
      </w:r>
      <w:r w:rsidR="00376210" w:rsidRPr="00B91524">
        <w:t>, habitats and levels of predicted scour</w:t>
      </w:r>
      <w:r w:rsidR="004503B1" w:rsidRPr="00B91524">
        <w:t xml:space="preserve"> across the array</w:t>
      </w:r>
      <w:r w:rsidR="00376210" w:rsidRPr="00B91524">
        <w:t xml:space="preserve"> area and </w:t>
      </w:r>
      <w:r w:rsidR="00DE1A4F" w:rsidRPr="00B91524">
        <w:t>portion of the E</w:t>
      </w:r>
      <w:r w:rsidR="007443E4" w:rsidRPr="00B91524">
        <w:t xml:space="preserve">xport </w:t>
      </w:r>
      <w:r w:rsidR="00DE1A4F" w:rsidRPr="00B91524">
        <w:t>C</w:t>
      </w:r>
      <w:r w:rsidR="007443E4" w:rsidRPr="00B91524">
        <w:t xml:space="preserve">able </w:t>
      </w:r>
      <w:r w:rsidR="00DE1A4F" w:rsidRPr="00B91524">
        <w:t>R</w:t>
      </w:r>
      <w:r w:rsidR="007443E4" w:rsidRPr="00B91524">
        <w:t>oute (ECR)</w:t>
      </w:r>
      <w:r w:rsidR="00DE1A4F" w:rsidRPr="00B91524">
        <w:t xml:space="preserve"> that overlaps the Dogger Bank SAC</w:t>
      </w:r>
      <w:r w:rsidR="008B094B" w:rsidRPr="00B91524">
        <w:t>.</w:t>
      </w:r>
      <w:r w:rsidR="004503B1" w:rsidRPr="00B91524">
        <w:t xml:space="preserve"> </w:t>
      </w:r>
      <w:r w:rsidR="00742820" w:rsidRPr="00B91524">
        <w:t xml:space="preserve">The full rationale for positioning of all proposed sampling stations is provided in </w:t>
      </w:r>
      <w:r w:rsidR="00294D7F" w:rsidRPr="00243882">
        <w:rPr>
          <w:highlight w:val="yellow"/>
        </w:rPr>
        <w:t xml:space="preserve">Annex </w:t>
      </w:r>
      <w:r w:rsidR="00243882" w:rsidRPr="00243882">
        <w:rPr>
          <w:highlight w:val="yellow"/>
        </w:rPr>
        <w:t>1</w:t>
      </w:r>
      <w:r w:rsidR="00294D7F" w:rsidRPr="00243882">
        <w:rPr>
          <w:highlight w:val="yellow"/>
        </w:rPr>
        <w:t>.</w:t>
      </w:r>
    </w:p>
    <w:p w14:paraId="2CEE9994" w14:textId="163B4500" w:rsidR="00920F56" w:rsidRPr="00B91524" w:rsidRDefault="008B094B" w:rsidP="007908D8">
      <w:pPr>
        <w:pStyle w:val="Reportbodytextnumbering"/>
      </w:pPr>
      <w:r w:rsidRPr="00B91524">
        <w:t>Sampling l</w:t>
      </w:r>
      <w:r w:rsidR="00920F56" w:rsidRPr="00B91524">
        <w:t xml:space="preserve">ocations </w:t>
      </w:r>
      <w:r w:rsidR="00DE1A4F" w:rsidRPr="00B91524">
        <w:t>have been selected</w:t>
      </w:r>
      <w:r w:rsidR="00431606" w:rsidRPr="00B91524">
        <w:t xml:space="preserve"> </w:t>
      </w:r>
      <w:r w:rsidR="00DE1A4F" w:rsidRPr="00B91524">
        <w:t xml:space="preserve">to represent </w:t>
      </w:r>
      <w:r w:rsidRPr="00B91524">
        <w:t xml:space="preserve">the different sediment habitats identified </w:t>
      </w:r>
      <w:r w:rsidR="00920F56" w:rsidRPr="00B91524">
        <w:t xml:space="preserve">across the Annex I sandbank feature </w:t>
      </w:r>
      <w:r w:rsidR="00DE1A4F" w:rsidRPr="00B91524">
        <w:t xml:space="preserve">(see Appendix </w:t>
      </w:r>
      <w:r w:rsidR="007443E4" w:rsidRPr="00B91524">
        <w:t>L</w:t>
      </w:r>
      <w:r w:rsidR="00DE1A4F" w:rsidRPr="00B91524">
        <w:t xml:space="preserve">) </w:t>
      </w:r>
      <w:r w:rsidR="00920F56" w:rsidRPr="00B91524">
        <w:t xml:space="preserve">with the aim of examining a range </w:t>
      </w:r>
      <w:proofErr w:type="spellStart"/>
      <w:r w:rsidR="0087019D" w:rsidRPr="00B91524">
        <w:t>infaunal</w:t>
      </w:r>
      <w:proofErr w:type="spellEnd"/>
      <w:r w:rsidR="0087019D" w:rsidRPr="00B91524">
        <w:t>, epifaunal and demersal fish</w:t>
      </w:r>
      <w:r w:rsidR="00920F56" w:rsidRPr="00B91524">
        <w:t xml:space="preserve"> communities associated with the feature. </w:t>
      </w:r>
      <w:r w:rsidR="0077630A" w:rsidRPr="00B91524">
        <w:t xml:space="preserve">No </w:t>
      </w:r>
      <w:r w:rsidRPr="00B91524">
        <w:t xml:space="preserve">sediment </w:t>
      </w:r>
      <w:r w:rsidR="0077630A" w:rsidRPr="00B91524">
        <w:t>sampling is proposed for the section of the e</w:t>
      </w:r>
      <w:bookmarkStart w:id="89" w:name="_GoBack"/>
      <w:bookmarkEnd w:id="89"/>
      <w:r w:rsidR="0077630A" w:rsidRPr="00B91524">
        <w:t xml:space="preserve">xport cable corridor that lies outside the Dogger Bank SAC, as the </w:t>
      </w:r>
      <w:r w:rsidR="0077630A" w:rsidRPr="00B91524">
        <w:rPr>
          <w:lang w:val="en-GB"/>
        </w:rPr>
        <w:t>characterisation</w:t>
      </w:r>
      <w:r w:rsidR="0077630A" w:rsidRPr="00B91524">
        <w:t xml:space="preserve"> work undertaken at the ES stage confirmed that the seabed habitats and communities are similar to those within the Dogger Bank SAC</w:t>
      </w:r>
      <w:r w:rsidRPr="00B91524">
        <w:t xml:space="preserve"> </w:t>
      </w:r>
      <w:r w:rsidR="0077630A" w:rsidRPr="00B91524">
        <w:t>and no significant impacts were predicted.</w:t>
      </w:r>
    </w:p>
    <w:p w14:paraId="57C15448" w14:textId="77777777" w:rsidR="000B5660" w:rsidRPr="00B91524" w:rsidRDefault="00995607" w:rsidP="00995607">
      <w:pPr>
        <w:pStyle w:val="Reportbodytextnumbering"/>
        <w:sectPr w:rsidR="000B5660" w:rsidRPr="00B91524">
          <w:headerReference w:type="default" r:id="rId22"/>
          <w:footerReference w:type="default" r:id="rId23"/>
          <w:pgSz w:w="11906" w:h="16838"/>
          <w:pgMar w:top="1440" w:right="1440" w:bottom="1440" w:left="1440" w:header="709" w:footer="709" w:gutter="0"/>
          <w:cols w:space="720"/>
        </w:sectPr>
      </w:pPr>
      <w:r w:rsidRPr="00B91524">
        <w:t>Topographical impacts of seabed infrastructure and associated scour on the Annex I sandbank feature will also be monitored as part of the approved Geophysical (Bathymetrical) Monitoring Plan (SOWFL, 2019a). For pre-construction, this involved collection of MBES and SSS data at all generation (WTG and inter-array cables) and transmission (OCP and export cables) infrastructure locations including buffer zones in 2020. MBES and SSS data will also be collected during post-construction geophysical monitoring surveys at the same subset of infrastructure locations</w:t>
      </w:r>
      <w:r w:rsidR="00F86844" w:rsidRPr="00B91524">
        <w:t xml:space="preserve"> </w:t>
      </w:r>
      <w:r w:rsidR="00F8274D" w:rsidRPr="00B91524">
        <w:t>(</w:t>
      </w:r>
      <w:r w:rsidR="00F86844" w:rsidRPr="00B91524">
        <w:t>within the Order Limits)</w:t>
      </w:r>
      <w:r w:rsidRPr="00B91524">
        <w:t xml:space="preserve"> that will be targeted with underwater imagery and grab sample collection as part of this BMP. All geophysical monitoring data will be collected to International Hydrographic Order (IHO) Order 1A standards. </w:t>
      </w:r>
    </w:p>
    <w:p w14:paraId="03684693" w14:textId="4FBDFE1C" w:rsidR="00995607" w:rsidRPr="00B91524" w:rsidRDefault="00350DC1" w:rsidP="0009712F">
      <w:pPr>
        <w:pStyle w:val="Reportbodytextnumbering"/>
        <w:numPr>
          <w:ilvl w:val="0"/>
          <w:numId w:val="0"/>
        </w:numPr>
      </w:pPr>
      <w:r>
        <w:rPr>
          <w:noProof/>
        </w:rPr>
        <w:lastRenderedPageBreak/>
        <w:drawing>
          <wp:anchor distT="0" distB="0" distL="114300" distR="114300" simplePos="0" relativeHeight="251715071" behindDoc="0" locked="0" layoutInCell="1" allowOverlap="1" wp14:anchorId="5A8C1953" wp14:editId="09AE8954">
            <wp:simplePos x="0" y="0"/>
            <wp:positionH relativeFrom="column">
              <wp:posOffset>1198880</wp:posOffset>
            </wp:positionH>
            <wp:positionV relativeFrom="paragraph">
              <wp:posOffset>-93980</wp:posOffset>
            </wp:positionV>
            <wp:extent cx="6220383" cy="4497211"/>
            <wp:effectExtent l="0" t="0" r="9525" b="0"/>
            <wp:wrapNone/>
            <wp:docPr id="57" name="Picture 4" descr="Chart, radar chart&#10;&#10;Description automatically generated">
              <a:extLst xmlns:a="http://schemas.openxmlformats.org/drawingml/2006/main">
                <a:ext uri="{FF2B5EF4-FFF2-40B4-BE49-F238E27FC236}">
                  <a16:creationId xmlns:a16="http://schemas.microsoft.com/office/drawing/2014/main" id="{4E760504-3549-40B7-8CBF-0ACC7208933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Picture 4" descr="Chart, radar chart&#10;&#10;Description automatically generated">
                      <a:extLst>
                        <a:ext uri="{FF2B5EF4-FFF2-40B4-BE49-F238E27FC236}">
                          <a16:creationId xmlns:a16="http://schemas.microsoft.com/office/drawing/2014/main" id="{4E760504-3549-40B7-8CBF-0ACC72089336}"/>
                        </a:ext>
                      </a:extLst>
                    </pic:cNvPr>
                    <pic:cNvPicPr>
                      <a:picLocks noChangeAspect="1"/>
                    </pic:cNvPicPr>
                  </pic:nvPicPr>
                  <pic:blipFill>
                    <a:blip r:embed="rId24">
                      <a:extLst>
                        <a:ext uri="{28A0092B-C50C-407E-A947-70E740481C1C}">
                          <a14:useLocalDpi xmlns:a14="http://schemas.microsoft.com/office/drawing/2010/main" val="0"/>
                        </a:ext>
                      </a:extLst>
                    </a:blip>
                    <a:stretch>
                      <a:fillRect/>
                    </a:stretch>
                  </pic:blipFill>
                  <pic:spPr>
                    <a:xfrm>
                      <a:off x="0" y="0"/>
                      <a:ext cx="6220383" cy="4497211"/>
                    </a:xfrm>
                    <a:prstGeom prst="rect">
                      <a:avLst/>
                    </a:prstGeom>
                  </pic:spPr>
                </pic:pic>
              </a:graphicData>
            </a:graphic>
            <wp14:sizeRelH relativeFrom="page">
              <wp14:pctWidth>0</wp14:pctWidth>
            </wp14:sizeRelH>
            <wp14:sizeRelV relativeFrom="page">
              <wp14:pctHeight>0</wp14:pctHeight>
            </wp14:sizeRelV>
          </wp:anchor>
        </w:drawing>
      </w:r>
      <w:r w:rsidRPr="00350DC1">
        <w:rPr>
          <w:noProof/>
        </w:rPr>
        <w:t xml:space="preserve"> </w:t>
      </w:r>
    </w:p>
    <w:p w14:paraId="7B70D0BD" w14:textId="3204EAA8" w:rsidR="00AA5EF8" w:rsidRPr="00B91524" w:rsidRDefault="00AA5EF8" w:rsidP="00AA5EF8">
      <w:pPr>
        <w:pStyle w:val="Reportbodytextnumbering"/>
        <w:numPr>
          <w:ilvl w:val="0"/>
          <w:numId w:val="0"/>
        </w:numPr>
        <w:ind w:left="709"/>
        <w:rPr>
          <w:lang w:val="en-GB" w:eastAsia="en-US"/>
        </w:rPr>
      </w:pPr>
    </w:p>
    <w:p w14:paraId="01AAFC96" w14:textId="245C55B5" w:rsidR="00AA5EF8" w:rsidRPr="00B91524" w:rsidRDefault="00AA5EF8" w:rsidP="00AA5EF8">
      <w:pPr>
        <w:pStyle w:val="Reportbodytextnumbering"/>
        <w:numPr>
          <w:ilvl w:val="0"/>
          <w:numId w:val="0"/>
        </w:numPr>
        <w:ind w:left="709"/>
        <w:rPr>
          <w:lang w:val="en-GB" w:eastAsia="en-US"/>
        </w:rPr>
      </w:pPr>
    </w:p>
    <w:p w14:paraId="0550C58B" w14:textId="480C3797" w:rsidR="00AA5EF8" w:rsidRPr="00B91524" w:rsidRDefault="00AA5EF8" w:rsidP="00AA5EF8">
      <w:pPr>
        <w:pStyle w:val="Reportbodytextnumbering"/>
        <w:numPr>
          <w:ilvl w:val="0"/>
          <w:numId w:val="0"/>
        </w:numPr>
        <w:ind w:left="709"/>
        <w:rPr>
          <w:lang w:val="en-GB" w:eastAsia="en-US"/>
        </w:rPr>
      </w:pPr>
    </w:p>
    <w:p w14:paraId="17BD861B" w14:textId="7CD2347B" w:rsidR="00AA5EF8" w:rsidRPr="00B91524" w:rsidRDefault="00AA5EF8" w:rsidP="00AA5EF8">
      <w:pPr>
        <w:pStyle w:val="Reportbodytextnumbering"/>
        <w:numPr>
          <w:ilvl w:val="0"/>
          <w:numId w:val="0"/>
        </w:numPr>
        <w:ind w:left="709"/>
        <w:rPr>
          <w:lang w:val="en-GB" w:eastAsia="en-US"/>
        </w:rPr>
      </w:pPr>
    </w:p>
    <w:p w14:paraId="273440E8" w14:textId="46C86B43" w:rsidR="00AA5EF8" w:rsidRPr="00B91524" w:rsidRDefault="00AA5EF8" w:rsidP="00AA5EF8">
      <w:pPr>
        <w:pStyle w:val="Reportbodytextnumbering"/>
        <w:numPr>
          <w:ilvl w:val="0"/>
          <w:numId w:val="0"/>
        </w:numPr>
        <w:ind w:left="709"/>
        <w:rPr>
          <w:lang w:val="en-GB" w:eastAsia="en-US"/>
        </w:rPr>
      </w:pPr>
    </w:p>
    <w:p w14:paraId="11C7B6AB" w14:textId="1FB1A9A4" w:rsidR="00AA5EF8" w:rsidRPr="00B91524" w:rsidRDefault="00AA5EF8" w:rsidP="00AA5EF8">
      <w:pPr>
        <w:pStyle w:val="Reportbodytextnumbering"/>
        <w:numPr>
          <w:ilvl w:val="0"/>
          <w:numId w:val="0"/>
        </w:numPr>
        <w:ind w:left="709"/>
        <w:rPr>
          <w:lang w:val="en-GB" w:eastAsia="en-US"/>
        </w:rPr>
      </w:pPr>
    </w:p>
    <w:p w14:paraId="7DC5AAA0" w14:textId="725773E4" w:rsidR="00AA5EF8" w:rsidRPr="00B91524" w:rsidRDefault="00AA5EF8" w:rsidP="00AA5EF8">
      <w:pPr>
        <w:pStyle w:val="Reportbodytextnumbering"/>
        <w:numPr>
          <w:ilvl w:val="0"/>
          <w:numId w:val="0"/>
        </w:numPr>
        <w:ind w:left="709"/>
        <w:rPr>
          <w:lang w:val="en-GB" w:eastAsia="en-US"/>
        </w:rPr>
      </w:pPr>
    </w:p>
    <w:p w14:paraId="2005D629" w14:textId="1B5B1438" w:rsidR="00AA5EF8" w:rsidRPr="00B91524" w:rsidRDefault="00AA5EF8" w:rsidP="00AA5EF8">
      <w:pPr>
        <w:pStyle w:val="Reportbodytextnumbering"/>
        <w:numPr>
          <w:ilvl w:val="0"/>
          <w:numId w:val="0"/>
        </w:numPr>
        <w:ind w:left="709"/>
        <w:rPr>
          <w:lang w:val="en-GB" w:eastAsia="en-US"/>
        </w:rPr>
      </w:pPr>
    </w:p>
    <w:p w14:paraId="10237A2B" w14:textId="046AF8D3" w:rsidR="00AA5EF8" w:rsidRPr="00B91524" w:rsidRDefault="00AA5EF8" w:rsidP="00AA5EF8">
      <w:pPr>
        <w:pStyle w:val="Reportbodytextnumbering"/>
        <w:numPr>
          <w:ilvl w:val="0"/>
          <w:numId w:val="0"/>
        </w:numPr>
        <w:ind w:left="709"/>
        <w:rPr>
          <w:lang w:val="en-GB" w:eastAsia="en-US"/>
        </w:rPr>
      </w:pPr>
    </w:p>
    <w:p w14:paraId="16D87B97" w14:textId="60F9157D" w:rsidR="00AA5EF8" w:rsidRPr="00B91524" w:rsidRDefault="00AA5EF8" w:rsidP="00AA5EF8">
      <w:pPr>
        <w:pStyle w:val="Reportbodytextnumbering"/>
        <w:numPr>
          <w:ilvl w:val="0"/>
          <w:numId w:val="0"/>
        </w:numPr>
        <w:ind w:left="709"/>
        <w:rPr>
          <w:lang w:val="en-GB" w:eastAsia="en-US"/>
        </w:rPr>
      </w:pPr>
    </w:p>
    <w:p w14:paraId="4EBA3F9D" w14:textId="2D357433" w:rsidR="00AA5EF8" w:rsidRPr="00B91524" w:rsidRDefault="00AA5EF8" w:rsidP="00AA5EF8">
      <w:pPr>
        <w:pStyle w:val="Reportbodytextnumbering"/>
        <w:numPr>
          <w:ilvl w:val="0"/>
          <w:numId w:val="0"/>
        </w:numPr>
        <w:ind w:left="709"/>
        <w:rPr>
          <w:lang w:val="en-GB" w:eastAsia="en-US"/>
        </w:rPr>
      </w:pPr>
    </w:p>
    <w:p w14:paraId="76B78212" w14:textId="4C9EAFFD" w:rsidR="00AA5EF8" w:rsidRPr="00B91524" w:rsidRDefault="00AA5EF8" w:rsidP="00AA5EF8">
      <w:pPr>
        <w:pStyle w:val="Reportbodytextnumbering"/>
        <w:numPr>
          <w:ilvl w:val="0"/>
          <w:numId w:val="0"/>
        </w:numPr>
        <w:ind w:left="709"/>
        <w:rPr>
          <w:lang w:val="en-GB" w:eastAsia="en-US"/>
        </w:rPr>
      </w:pPr>
    </w:p>
    <w:p w14:paraId="7ED2613C" w14:textId="7210897A" w:rsidR="00AA5EF8" w:rsidRPr="00B91524" w:rsidRDefault="00AA5EF8" w:rsidP="00AA5EF8">
      <w:pPr>
        <w:pStyle w:val="Reportbodytextnumbering"/>
        <w:numPr>
          <w:ilvl w:val="0"/>
          <w:numId w:val="0"/>
        </w:numPr>
        <w:ind w:left="709"/>
        <w:rPr>
          <w:lang w:val="en-GB" w:eastAsia="en-US"/>
        </w:rPr>
      </w:pPr>
    </w:p>
    <w:p w14:paraId="750F0177" w14:textId="77777777" w:rsidR="008B5D96" w:rsidRPr="00B91524" w:rsidRDefault="008B5D96" w:rsidP="008B5D96">
      <w:pPr>
        <w:pStyle w:val="Caption"/>
      </w:pPr>
    </w:p>
    <w:p w14:paraId="70B864EF" w14:textId="25AC6479" w:rsidR="008B5D96" w:rsidRPr="00B91524" w:rsidRDefault="008B5D96" w:rsidP="008B5D96">
      <w:pPr>
        <w:pStyle w:val="Caption"/>
        <w:sectPr w:rsidR="008B5D96" w:rsidRPr="00B91524" w:rsidSect="00140110">
          <w:headerReference w:type="default" r:id="rId25"/>
          <w:pgSz w:w="16838" w:h="11906" w:orient="landscape"/>
          <w:pgMar w:top="1440" w:right="1440" w:bottom="1440" w:left="1440" w:header="709" w:footer="709" w:gutter="0"/>
          <w:cols w:space="720"/>
          <w:docGrid w:linePitch="299"/>
        </w:sectPr>
      </w:pPr>
      <w:bookmarkStart w:id="90" w:name="_Ref61596275"/>
      <w:bookmarkStart w:id="91" w:name="_Toc62048812"/>
      <w:r w:rsidRPr="00294036">
        <w:rPr>
          <w:highlight w:val="yellow"/>
        </w:rPr>
        <w:t xml:space="preserve">Figure </w:t>
      </w:r>
      <w:r w:rsidR="00F932B2" w:rsidRPr="00294036">
        <w:rPr>
          <w:highlight w:val="yellow"/>
        </w:rPr>
        <w:fldChar w:fldCharType="begin"/>
      </w:r>
      <w:r w:rsidR="00F932B2" w:rsidRPr="00294036">
        <w:rPr>
          <w:highlight w:val="yellow"/>
        </w:rPr>
        <w:instrText xml:space="preserve"> STYLEREF 1 \s </w:instrText>
      </w:r>
      <w:r w:rsidR="00F932B2" w:rsidRPr="00294036">
        <w:rPr>
          <w:highlight w:val="yellow"/>
        </w:rPr>
        <w:fldChar w:fldCharType="separate"/>
      </w:r>
      <w:r w:rsidR="00683595">
        <w:rPr>
          <w:noProof/>
          <w:highlight w:val="yellow"/>
        </w:rPr>
        <w:t>4</w:t>
      </w:r>
      <w:r w:rsidR="00F932B2" w:rsidRPr="00294036">
        <w:rPr>
          <w:noProof/>
          <w:highlight w:val="yellow"/>
        </w:rPr>
        <w:fldChar w:fldCharType="end"/>
      </w:r>
      <w:r w:rsidRPr="00294036">
        <w:rPr>
          <w:highlight w:val="yellow"/>
        </w:rPr>
        <w:noBreakHyphen/>
      </w:r>
      <w:r w:rsidR="00F932B2" w:rsidRPr="00294036">
        <w:rPr>
          <w:highlight w:val="yellow"/>
        </w:rPr>
        <w:fldChar w:fldCharType="begin"/>
      </w:r>
      <w:r w:rsidR="00F932B2" w:rsidRPr="00294036">
        <w:rPr>
          <w:highlight w:val="yellow"/>
        </w:rPr>
        <w:instrText xml:space="preserve"> SEQ Figure \* ARABIC \s 1 </w:instrText>
      </w:r>
      <w:r w:rsidR="00F932B2" w:rsidRPr="00294036">
        <w:rPr>
          <w:highlight w:val="yellow"/>
        </w:rPr>
        <w:fldChar w:fldCharType="separate"/>
      </w:r>
      <w:r w:rsidR="00683595">
        <w:rPr>
          <w:noProof/>
          <w:highlight w:val="yellow"/>
        </w:rPr>
        <w:t>1</w:t>
      </w:r>
      <w:r w:rsidR="00F932B2" w:rsidRPr="00294036">
        <w:rPr>
          <w:noProof/>
          <w:highlight w:val="yellow"/>
        </w:rPr>
        <w:fldChar w:fldCharType="end"/>
      </w:r>
      <w:bookmarkEnd w:id="90"/>
      <w:r w:rsidRPr="00294036">
        <w:rPr>
          <w:highlight w:val="yellow"/>
        </w:rPr>
        <w:t xml:space="preserve"> </w:t>
      </w:r>
      <w:bookmarkStart w:id="92" w:name="_Hlk61610802"/>
      <w:r w:rsidRPr="00294036">
        <w:rPr>
          <w:highlight w:val="yellow"/>
        </w:rPr>
        <w:t xml:space="preserve">Proposed arrangement of benthic sampling at each selected WTG </w:t>
      </w:r>
      <w:r w:rsidR="00A82AC1" w:rsidRPr="00294036">
        <w:rPr>
          <w:highlight w:val="yellow"/>
        </w:rPr>
        <w:t>and the OCP</w:t>
      </w:r>
      <w:r w:rsidR="002905DA" w:rsidRPr="00294036">
        <w:rPr>
          <w:highlight w:val="yellow"/>
        </w:rPr>
        <w:t xml:space="preserve"> </w:t>
      </w:r>
      <w:r w:rsidRPr="00294036">
        <w:rPr>
          <w:highlight w:val="yellow"/>
        </w:rPr>
        <w:t xml:space="preserve">location. Note that BRUV sampling will only take place at a subset of </w:t>
      </w:r>
      <w:r w:rsidR="00A82AC1" w:rsidRPr="00294036">
        <w:rPr>
          <w:highlight w:val="yellow"/>
        </w:rPr>
        <w:t xml:space="preserve">three </w:t>
      </w:r>
      <w:r w:rsidRPr="00294036">
        <w:rPr>
          <w:highlight w:val="yellow"/>
        </w:rPr>
        <w:t>WTG locations.</w:t>
      </w:r>
      <w:bookmarkEnd w:id="91"/>
      <w:bookmarkEnd w:id="92"/>
      <w:r w:rsidR="00A82AC1" w:rsidRPr="00294036">
        <w:rPr>
          <w:highlight w:val="yellow"/>
        </w:rPr>
        <w:t xml:space="preserve"> Also shown on the left is the modelled tidal</w:t>
      </w:r>
      <w:r w:rsidR="00443FC2" w:rsidRPr="00294036">
        <w:rPr>
          <w:highlight w:val="yellow"/>
        </w:rPr>
        <w:t xml:space="preserve"> flow</w:t>
      </w:r>
      <w:r w:rsidR="00A82AC1" w:rsidRPr="00294036">
        <w:rPr>
          <w:highlight w:val="yellow"/>
        </w:rPr>
        <w:t xml:space="preserve"> </w:t>
      </w:r>
      <w:r w:rsidR="00443FC2" w:rsidRPr="00294036">
        <w:rPr>
          <w:highlight w:val="yellow"/>
        </w:rPr>
        <w:t>axis</w:t>
      </w:r>
      <w:r w:rsidR="00A82AC1" w:rsidRPr="00294036">
        <w:rPr>
          <w:highlight w:val="yellow"/>
        </w:rPr>
        <w:t xml:space="preserve"> for the </w:t>
      </w:r>
      <w:r w:rsidR="00443FC2" w:rsidRPr="00294036">
        <w:rPr>
          <w:highlight w:val="yellow"/>
        </w:rPr>
        <w:t>array area</w:t>
      </w:r>
      <w:r w:rsidR="005429D0" w:rsidRPr="00294036">
        <w:rPr>
          <w:highlight w:val="yellow"/>
        </w:rPr>
        <w:t xml:space="preserve"> showing the </w:t>
      </w:r>
      <w:r w:rsidR="00691218" w:rsidRPr="00294036">
        <w:rPr>
          <w:highlight w:val="yellow"/>
        </w:rPr>
        <w:t>pre</w:t>
      </w:r>
      <w:r w:rsidR="005429D0" w:rsidRPr="00294036">
        <w:rPr>
          <w:highlight w:val="yellow"/>
        </w:rPr>
        <w:t>dominant NW to SE direction</w:t>
      </w:r>
      <w:r w:rsidR="00443FC2" w:rsidRPr="00294036">
        <w:rPr>
          <w:highlight w:val="yellow"/>
        </w:rPr>
        <w:t>.</w:t>
      </w:r>
    </w:p>
    <w:p w14:paraId="5E441D14" w14:textId="79F93F30" w:rsidR="003A4B6B" w:rsidRPr="00B91524" w:rsidRDefault="003A4B6B" w:rsidP="003A4B6B">
      <w:pPr>
        <w:pStyle w:val="Heading3"/>
      </w:pPr>
      <w:bookmarkStart w:id="93" w:name="_Toc74670335"/>
      <w:r w:rsidRPr="00B91524">
        <w:lastRenderedPageBreak/>
        <w:t>Approach</w:t>
      </w:r>
      <w:bookmarkEnd w:id="93"/>
    </w:p>
    <w:p w14:paraId="3CB8BCE7" w14:textId="104ED0ED" w:rsidR="00EE00B8" w:rsidRPr="00B91524" w:rsidRDefault="00920F56" w:rsidP="00EE00B8">
      <w:pPr>
        <w:pStyle w:val="Reportbodytextnumbering"/>
      </w:pPr>
      <w:r w:rsidRPr="00B91524">
        <w:t xml:space="preserve">The survey approach will adopt a cruciform sample alignment, focusing on nearfield impacts inclusive of scour. </w:t>
      </w:r>
      <w:r w:rsidR="004E0B1D" w:rsidRPr="00B91524">
        <w:t xml:space="preserve">A </w:t>
      </w:r>
      <w:r w:rsidR="00676451" w:rsidRPr="00B91524">
        <w:t>sample</w:t>
      </w:r>
      <w:r w:rsidR="004E0B1D" w:rsidRPr="00B91524">
        <w:t xml:space="preserve"> of </w:t>
      </w:r>
      <w:r w:rsidR="00EB4E3F" w:rsidRPr="00294036">
        <w:rPr>
          <w:highlight w:val="yellow"/>
        </w:rPr>
        <w:t>eight</w:t>
      </w:r>
      <w:r w:rsidR="00294D7F" w:rsidRPr="00B91524">
        <w:t xml:space="preserve"> </w:t>
      </w:r>
      <w:r w:rsidR="00F01C05" w:rsidRPr="00B91524">
        <w:t>WTG</w:t>
      </w:r>
      <w:r w:rsidR="004E0B1D" w:rsidRPr="00B91524">
        <w:t xml:space="preserve"> locations</w:t>
      </w:r>
      <w:r w:rsidR="003143A2" w:rsidRPr="00B91524">
        <w:t>, the OCP</w:t>
      </w:r>
      <w:r w:rsidR="004E0B1D" w:rsidRPr="00B91524">
        <w:t xml:space="preserve"> </w:t>
      </w:r>
      <w:r w:rsidR="00D435EC" w:rsidRPr="00B91524">
        <w:t>jacket</w:t>
      </w:r>
      <w:r w:rsidR="00983FA3" w:rsidRPr="00B91524">
        <w:t xml:space="preserve">, </w:t>
      </w:r>
      <w:r w:rsidR="00EB4E3F" w:rsidRPr="00294036">
        <w:rPr>
          <w:highlight w:val="yellow"/>
        </w:rPr>
        <w:t>four</w:t>
      </w:r>
      <w:r w:rsidR="00294D7F" w:rsidRPr="00B91524">
        <w:t xml:space="preserve"> </w:t>
      </w:r>
      <w:r w:rsidR="00983FA3" w:rsidRPr="00B91524">
        <w:t>inter</w:t>
      </w:r>
      <w:r w:rsidR="00A7254C" w:rsidRPr="00B91524">
        <w:t>-</w:t>
      </w:r>
      <w:r w:rsidR="00983FA3" w:rsidRPr="00B91524">
        <w:t>array cables</w:t>
      </w:r>
      <w:r w:rsidR="00D435EC" w:rsidRPr="00B91524">
        <w:t xml:space="preserve"> </w:t>
      </w:r>
      <w:r w:rsidR="004E0B1D" w:rsidRPr="00B91524">
        <w:t xml:space="preserve">and </w:t>
      </w:r>
      <w:r w:rsidR="00EB4E3F" w:rsidRPr="00294036">
        <w:rPr>
          <w:highlight w:val="yellow"/>
        </w:rPr>
        <w:t>four</w:t>
      </w:r>
      <w:r w:rsidR="002C6C2C" w:rsidRPr="00B91524">
        <w:t xml:space="preserve"> </w:t>
      </w:r>
      <w:r w:rsidR="004E0B1D" w:rsidRPr="00B91524">
        <w:t xml:space="preserve">locations </w:t>
      </w:r>
      <w:r w:rsidR="00757562" w:rsidRPr="00B91524">
        <w:t xml:space="preserve">along the export cable route where key habitats cannot be avoided </w:t>
      </w:r>
      <w:r w:rsidR="004E0B1D" w:rsidRPr="00B91524">
        <w:t xml:space="preserve">will be selected. </w:t>
      </w:r>
    </w:p>
    <w:p w14:paraId="4FDA0635" w14:textId="77777777" w:rsidR="00861E46" w:rsidRPr="00B91524" w:rsidRDefault="00861E46" w:rsidP="004503B1">
      <w:pPr>
        <w:pStyle w:val="ListParagraph"/>
        <w:rPr>
          <w:bCs/>
        </w:rPr>
      </w:pPr>
      <w:proofErr w:type="spellStart"/>
      <w:r w:rsidRPr="00B91524">
        <w:rPr>
          <w:b/>
          <w:bCs/>
        </w:rPr>
        <w:t>Infaunal</w:t>
      </w:r>
      <w:proofErr w:type="spellEnd"/>
      <w:r w:rsidRPr="00B91524">
        <w:rPr>
          <w:b/>
          <w:bCs/>
        </w:rPr>
        <w:t xml:space="preserve"> and Sessile Communities</w:t>
      </w:r>
    </w:p>
    <w:p w14:paraId="394D9859" w14:textId="55D227C5" w:rsidR="004E0B1D" w:rsidRPr="00B91524" w:rsidRDefault="004E0B1D">
      <w:pPr>
        <w:pStyle w:val="Reportbodytextnumbering"/>
      </w:pPr>
      <w:r w:rsidRPr="00B91524">
        <w:t xml:space="preserve">At each of the foundation locations, a cruciform pattern of </w:t>
      </w:r>
      <w:r w:rsidR="00861E46" w:rsidRPr="00B91524">
        <w:t xml:space="preserve">sampling </w:t>
      </w:r>
      <w:r w:rsidRPr="00B91524">
        <w:t xml:space="preserve">stations will be arranged with </w:t>
      </w:r>
      <w:r w:rsidR="00EB4E3F" w:rsidRPr="00294036">
        <w:rPr>
          <w:highlight w:val="yellow"/>
        </w:rPr>
        <w:t>eight</w:t>
      </w:r>
      <w:r w:rsidR="002C6C2C" w:rsidRPr="00B91524">
        <w:t xml:space="preserve"> </w:t>
      </w:r>
      <w:r w:rsidRPr="00B91524">
        <w:t xml:space="preserve">stations </w:t>
      </w:r>
      <w:r w:rsidR="00BA3466" w:rsidRPr="00294036">
        <w:rPr>
          <w:highlight w:val="yellow"/>
        </w:rPr>
        <w:t xml:space="preserve">to be sampled at each location. Buffers were placed around the proposed locations at 100 m, 200 m and 300 m. Eight stations were placed around the proposed WTG locations in a cruciform arrangement. The proposed </w:t>
      </w:r>
      <w:proofErr w:type="spellStart"/>
      <w:r w:rsidR="00BA3466" w:rsidRPr="00294036">
        <w:rPr>
          <w:highlight w:val="yellow"/>
        </w:rPr>
        <w:t>cruciforms</w:t>
      </w:r>
      <w:proofErr w:type="spellEnd"/>
      <w:r w:rsidR="00BA3466" w:rsidRPr="00294036">
        <w:rPr>
          <w:highlight w:val="yellow"/>
        </w:rPr>
        <w:t xml:space="preserve"> consist of ‘long arms’ aligned with the NW to SE tidal axis extending 300 m from each WTG location and ‘short arms’ aligned at right angles to the ‘long arms’ extending 100 m from each WTG location. Sampling stations were positioned at the 100 m, 200 m and 300 m points along each of the ‘long arms’ and at the 100 m point of the ‘short arms’ (see Figure 4-1). The ‘long arms’ were </w:t>
      </w:r>
      <w:r w:rsidRPr="00294036">
        <w:rPr>
          <w:highlight w:val="yellow"/>
        </w:rPr>
        <w:t xml:space="preserve">aligned to the </w:t>
      </w:r>
      <w:r w:rsidR="009D798D" w:rsidRPr="00294036">
        <w:rPr>
          <w:highlight w:val="yellow"/>
        </w:rPr>
        <w:t xml:space="preserve">dominant </w:t>
      </w:r>
      <w:r w:rsidRPr="00294036">
        <w:rPr>
          <w:highlight w:val="yellow"/>
        </w:rPr>
        <w:t>tidal flow (</w:t>
      </w:r>
      <w:r w:rsidR="00BA3466" w:rsidRPr="00294036">
        <w:rPr>
          <w:highlight w:val="yellow"/>
        </w:rPr>
        <w:t>NW to SE)</w:t>
      </w:r>
      <w:r w:rsidRPr="00B91524">
        <w:t xml:space="preserve">. </w:t>
      </w:r>
      <w:r w:rsidR="00861E46" w:rsidRPr="00B91524">
        <w:t>Stations</w:t>
      </w:r>
      <w:r w:rsidRPr="00B91524">
        <w:t xml:space="preserve"> </w:t>
      </w:r>
      <w:r w:rsidR="00BA3466">
        <w:t>were</w:t>
      </w:r>
      <w:r w:rsidR="00BA3466" w:rsidRPr="00B91524">
        <w:t xml:space="preserve"> </w:t>
      </w:r>
      <w:r w:rsidRPr="00B91524">
        <w:t xml:space="preserve">arranged to avoid interaction with the inter-array cables. At each of the </w:t>
      </w:r>
      <w:r w:rsidR="00A7254C" w:rsidRPr="00B91524">
        <w:t xml:space="preserve">inter-array cable and </w:t>
      </w:r>
      <w:r w:rsidRPr="00B91524">
        <w:t xml:space="preserve">export cable corridor locations, stations </w:t>
      </w:r>
      <w:r w:rsidR="00D2085A">
        <w:t>were</w:t>
      </w:r>
      <w:r w:rsidRPr="00B91524">
        <w:t xml:space="preserve"> arranged </w:t>
      </w:r>
      <w:r w:rsidR="00D2085A" w:rsidRPr="00294036">
        <w:rPr>
          <w:highlight w:val="yellow"/>
        </w:rPr>
        <w:t>15</w:t>
      </w:r>
      <w:r w:rsidR="00D2085A" w:rsidRPr="00B91524">
        <w:t xml:space="preserve"> </w:t>
      </w:r>
      <w:r w:rsidR="00D56E38" w:rsidRPr="00B91524">
        <w:t>m</w:t>
      </w:r>
      <w:r w:rsidRPr="00B91524">
        <w:t xml:space="preserve"> either side of the cable route (a total of two </w:t>
      </w:r>
      <w:r w:rsidR="00861E46" w:rsidRPr="00B91524">
        <w:t xml:space="preserve">stations </w:t>
      </w:r>
      <w:r w:rsidRPr="00B91524">
        <w:t>per cable location).</w:t>
      </w:r>
    </w:p>
    <w:p w14:paraId="066CB2CA" w14:textId="029BE62A" w:rsidR="00920F56" w:rsidRPr="00B91524" w:rsidRDefault="00D56E38" w:rsidP="007908D8">
      <w:pPr>
        <w:pStyle w:val="Reportbodytextnumbering"/>
      </w:pPr>
      <w:r w:rsidRPr="00B91524">
        <w:t>Twelve</w:t>
      </w:r>
      <w:r w:rsidR="00964325" w:rsidRPr="00B91524">
        <w:t xml:space="preserve"> control stations</w:t>
      </w:r>
      <w:r w:rsidR="00647826" w:rsidRPr="00B91524">
        <w:t xml:space="preserve"> </w:t>
      </w:r>
      <w:r w:rsidR="00920F56" w:rsidRPr="00B91524">
        <w:t xml:space="preserve">will also be </w:t>
      </w:r>
      <w:r w:rsidR="003801A4" w:rsidRPr="00B91524">
        <w:t>sampled.</w:t>
      </w:r>
      <w:r w:rsidR="00647826" w:rsidRPr="00B91524">
        <w:t xml:space="preserve"> </w:t>
      </w:r>
      <w:r w:rsidR="00920F56" w:rsidRPr="00B91524">
        <w:t xml:space="preserve">These will be positioned in areas representative of the corresponding key </w:t>
      </w:r>
      <w:r w:rsidR="005D1170" w:rsidRPr="00B91524">
        <w:t>sediment habitats</w:t>
      </w:r>
      <w:r w:rsidR="00920F56" w:rsidRPr="00B91524">
        <w:t xml:space="preserve"> to be targeted by the foundation and </w:t>
      </w:r>
      <w:r w:rsidR="00964325" w:rsidRPr="00B91524">
        <w:t xml:space="preserve">export </w:t>
      </w:r>
      <w:r w:rsidR="00920F56" w:rsidRPr="00B91524">
        <w:t>cable locations within the SAC boundary but outside the main tidal excursion of the SOWF infrastructure locations</w:t>
      </w:r>
      <w:r w:rsidR="003801A4" w:rsidRPr="00B91524">
        <w:t xml:space="preserve"> and away from any other nearby impacting activities e.g. oil and gas development</w:t>
      </w:r>
      <w:r w:rsidR="00E30313" w:rsidRPr="00B91524">
        <w:t>s</w:t>
      </w:r>
      <w:r w:rsidR="003801A4" w:rsidRPr="00B91524">
        <w:t xml:space="preserve"> (if present)</w:t>
      </w:r>
      <w:r w:rsidR="00E30313" w:rsidRPr="00B91524">
        <w:t xml:space="preserve"> and the other planned Dogger Bank offshore wind farm sites</w:t>
      </w:r>
      <w:r w:rsidR="003801A4" w:rsidRPr="00B91524">
        <w:t>.</w:t>
      </w:r>
      <w:r w:rsidR="00920F56" w:rsidRPr="00B91524">
        <w:t xml:space="preserve"> Where possible, the control stations </w:t>
      </w:r>
      <w:r w:rsidRPr="00B91524">
        <w:t>have been</w:t>
      </w:r>
      <w:r w:rsidR="00920F56" w:rsidRPr="00B91524">
        <w:t xml:space="preserve"> located to align with sampling positions </w:t>
      </w:r>
      <w:r w:rsidR="00CE45A0" w:rsidRPr="00B91524">
        <w:t xml:space="preserve">visited during JNCC’s sampling campaign of Dogger Bank in 2015 </w:t>
      </w:r>
      <w:r w:rsidR="00920F56" w:rsidRPr="00B91524">
        <w:t xml:space="preserve">to provide long-term temporal context. </w:t>
      </w:r>
    </w:p>
    <w:p w14:paraId="4B254B79" w14:textId="7D31F498" w:rsidR="00647826" w:rsidRPr="00B91524" w:rsidRDefault="00964325" w:rsidP="007908D8">
      <w:pPr>
        <w:pStyle w:val="Reportbodytextnumbering"/>
      </w:pPr>
      <w:bookmarkStart w:id="94" w:name="_Hlk61610642"/>
      <w:r w:rsidRPr="00B91524">
        <w:t>Sampling at each station will firstly involve the collection of seabed imagery in</w:t>
      </w:r>
      <w:r w:rsidR="0022369E" w:rsidRPr="00B91524">
        <w:t xml:space="preserve"> transect format running from as close as possible to the WTG locations (and/or edge of scour protection if </w:t>
      </w:r>
      <w:r w:rsidR="009D798D" w:rsidRPr="00B91524">
        <w:t>installed at particular turbine</w:t>
      </w:r>
      <w:r w:rsidR="0022369E" w:rsidRPr="00B91524">
        <w:t>) out to 150 m distance in one direction</w:t>
      </w:r>
      <w:r w:rsidR="00D2085A">
        <w:t xml:space="preserve"> </w:t>
      </w:r>
      <w:r w:rsidR="00D2085A" w:rsidRPr="00294036">
        <w:rPr>
          <w:highlight w:val="yellow"/>
        </w:rPr>
        <w:t>(‘short arms)</w:t>
      </w:r>
      <w:r w:rsidR="0022369E" w:rsidRPr="00B91524">
        <w:t xml:space="preserve"> and 300 m in the other</w:t>
      </w:r>
      <w:r w:rsidR="00247CF0" w:rsidRPr="00B91524">
        <w:t xml:space="preserve"> </w:t>
      </w:r>
      <w:r w:rsidR="00D2085A" w:rsidRPr="00294036">
        <w:rPr>
          <w:highlight w:val="yellow"/>
        </w:rPr>
        <w:t>(</w:t>
      </w:r>
      <w:r w:rsidR="00D315E1" w:rsidRPr="00294036">
        <w:rPr>
          <w:highlight w:val="yellow"/>
        </w:rPr>
        <w:t>long arms)</w:t>
      </w:r>
      <w:r w:rsidR="00D315E1">
        <w:t xml:space="preserve">. </w:t>
      </w:r>
      <w:r w:rsidR="0022369E" w:rsidRPr="00B91524">
        <w:t xml:space="preserve">This will include collection of </w:t>
      </w:r>
      <w:r w:rsidRPr="00B91524">
        <w:t xml:space="preserve">continuous video and high-resolution stills </w:t>
      </w:r>
      <w:r w:rsidR="0022369E" w:rsidRPr="00B91524">
        <w:t xml:space="preserve">at 5-10 m intervals. This will be </w:t>
      </w:r>
      <w:r w:rsidRPr="00B91524">
        <w:t>followed by the collection of triplicate grab samples</w:t>
      </w:r>
      <w:r w:rsidR="0022369E" w:rsidRPr="00B91524">
        <w:t xml:space="preserve"> at each of the </w:t>
      </w:r>
      <w:r w:rsidR="00D315E1" w:rsidRPr="00294036">
        <w:rPr>
          <w:highlight w:val="yellow"/>
        </w:rPr>
        <w:t>eight</w:t>
      </w:r>
      <w:r w:rsidR="00D315E1" w:rsidRPr="00B91524">
        <w:t xml:space="preserve"> </w:t>
      </w:r>
      <w:r w:rsidR="0022369E" w:rsidRPr="00B91524">
        <w:t>sampling stations</w:t>
      </w:r>
      <w:r w:rsidRPr="00B91524">
        <w:t xml:space="preserve">. </w:t>
      </w:r>
      <w:bookmarkEnd w:id="94"/>
      <w:r w:rsidRPr="00B91524">
        <w:t>All seabed imagery will be collected in line with the latest JNCC/NMBAQC guidelines (</w:t>
      </w:r>
      <w:proofErr w:type="spellStart"/>
      <w:r w:rsidRPr="00B91524">
        <w:t>Hitchin</w:t>
      </w:r>
      <w:proofErr w:type="spellEnd"/>
      <w:r w:rsidRPr="00B91524">
        <w:t xml:space="preserve"> et al., 2015). </w:t>
      </w:r>
      <w:r w:rsidR="00647826" w:rsidRPr="00B91524">
        <w:t>All grab samples will be collected using a 0.1m</w:t>
      </w:r>
      <w:r w:rsidR="00647826" w:rsidRPr="00B91524">
        <w:rPr>
          <w:vertAlign w:val="superscript"/>
        </w:rPr>
        <w:t>2</w:t>
      </w:r>
      <w:r w:rsidR="00647826" w:rsidRPr="00B91524">
        <w:t xml:space="preserve"> mini-Hamon grab in line with the protocols set out in the latest version of Regional Seabed Monitoring </w:t>
      </w:r>
      <w:proofErr w:type="spellStart"/>
      <w:r w:rsidR="00647826" w:rsidRPr="00B91524">
        <w:t>Programme</w:t>
      </w:r>
      <w:proofErr w:type="spellEnd"/>
      <w:r w:rsidR="00647826" w:rsidRPr="00B91524">
        <w:t xml:space="preserve"> (RSMP) protocol (Cooper &amp; Mason 2020)</w:t>
      </w:r>
      <w:r w:rsidR="00D315E1">
        <w:rPr>
          <w:rStyle w:val="FootnoteReference"/>
        </w:rPr>
        <w:footnoteReference w:id="2"/>
      </w:r>
      <w:r w:rsidR="00647826" w:rsidRPr="00B91524">
        <w:t xml:space="preserve"> and will undergo PSD and </w:t>
      </w:r>
      <w:proofErr w:type="spellStart"/>
      <w:r w:rsidR="00647826" w:rsidRPr="00B91524">
        <w:t>macrobenthic</w:t>
      </w:r>
      <w:proofErr w:type="spellEnd"/>
      <w:r w:rsidR="00647826" w:rsidRPr="00B91524">
        <w:t xml:space="preserve"> analysis at a laboratory participating in the NMBAQC scheme in line with the latest NMBAQC Best Practice Guidance (Mason 2016)</w:t>
      </w:r>
      <w:r w:rsidR="00633CAC" w:rsidRPr="00B91524">
        <w:t xml:space="preserve">. </w:t>
      </w:r>
      <w:r w:rsidR="00647826" w:rsidRPr="00B91524">
        <w:t>Biomass will be measured as blotted wet weight in grams to at least 4 d</w:t>
      </w:r>
      <w:r w:rsidR="00B2751B" w:rsidRPr="00B91524">
        <w:t xml:space="preserve">ecimal </w:t>
      </w:r>
      <w:r w:rsidR="00647826" w:rsidRPr="00B91524">
        <w:t>p</w:t>
      </w:r>
      <w:r w:rsidR="00B2751B" w:rsidRPr="00B91524">
        <w:t>laces</w:t>
      </w:r>
      <w:r w:rsidR="00647826" w:rsidRPr="00B91524">
        <w:t xml:space="preserve"> for all countable taxa (i.e. at species level where possible). In addition to standard Q</w:t>
      </w:r>
      <w:r w:rsidR="00B2751B" w:rsidRPr="00B91524">
        <w:t xml:space="preserve">uality </w:t>
      </w:r>
      <w:r w:rsidR="00647826" w:rsidRPr="00B91524">
        <w:t>C</w:t>
      </w:r>
      <w:r w:rsidR="00B2751B" w:rsidRPr="00B91524">
        <w:t>ontrol</w:t>
      </w:r>
      <w:r w:rsidR="00647826" w:rsidRPr="00B91524">
        <w:t xml:space="preserve"> procedures, </w:t>
      </w:r>
      <w:proofErr w:type="spellStart"/>
      <w:r w:rsidR="00647826" w:rsidRPr="00B91524">
        <w:t>macrobenthic</w:t>
      </w:r>
      <w:proofErr w:type="spellEnd"/>
      <w:r w:rsidR="00647826" w:rsidRPr="00B91524">
        <w:t xml:space="preserve"> and PSD sample processing will be subject to external quality control </w:t>
      </w:r>
      <w:r w:rsidR="00647826" w:rsidRPr="00B91524">
        <w:lastRenderedPageBreak/>
        <w:t>checks by an independent, competent benthic laboratory participant in the NMBAQC scheme as per the RSMP protocol (Cooper &amp; Mason 2020).</w:t>
      </w:r>
    </w:p>
    <w:p w14:paraId="371AF2A4" w14:textId="4C4542FA" w:rsidR="00964325" w:rsidRPr="00B91524" w:rsidRDefault="00964325" w:rsidP="00964325">
      <w:pPr>
        <w:pStyle w:val="Reportbodytextnumbering"/>
      </w:pPr>
      <w:r w:rsidRPr="00B91524">
        <w:t xml:space="preserve">Further monitoring information relating to the </w:t>
      </w:r>
      <w:proofErr w:type="spellStart"/>
      <w:r w:rsidRPr="00B91524">
        <w:t>infaunal</w:t>
      </w:r>
      <w:proofErr w:type="spellEnd"/>
      <w:r w:rsidRPr="00B91524">
        <w:t xml:space="preserve"> and sessile communities associated with the wider Annex I sandbank sediments will be collected during the annual investigations of the mega-epibenthos on the Dogger Bank conducted by SRI (see Section </w:t>
      </w:r>
      <w:r w:rsidR="004B3CE4" w:rsidRPr="00B91524">
        <w:t xml:space="preserve">3.8, </w:t>
      </w:r>
      <w:r w:rsidRPr="00B91524">
        <w:t>4.2.15</w:t>
      </w:r>
      <w:r w:rsidR="004B3CE4" w:rsidRPr="00B91524">
        <w:t xml:space="preserve">, </w:t>
      </w:r>
      <w:r w:rsidRPr="00B91524">
        <w:t>Appendix B</w:t>
      </w:r>
      <w:r w:rsidR="00DD3D84" w:rsidRPr="00B91524">
        <w:t xml:space="preserve"> and Appendix </w:t>
      </w:r>
      <w:r w:rsidR="007443E4" w:rsidRPr="00B91524">
        <w:t>K</w:t>
      </w:r>
      <w:r w:rsidRPr="00B91524">
        <w:t xml:space="preserve">) and incorporated into the pre- and post-construction monitoring. The combination of the infrastructure focused and wider sampling conducted by SRI will ensure both </w:t>
      </w:r>
      <w:proofErr w:type="spellStart"/>
      <w:r w:rsidRPr="00B91524">
        <w:t>localised</w:t>
      </w:r>
      <w:proofErr w:type="spellEnd"/>
      <w:r w:rsidRPr="00B91524">
        <w:t xml:space="preserve"> and </w:t>
      </w:r>
      <w:r w:rsidR="00DD3D84" w:rsidRPr="00B91524">
        <w:t>regional broad scale</w:t>
      </w:r>
      <w:r w:rsidRPr="00B91524">
        <w:t xml:space="preserve"> impacts on the </w:t>
      </w:r>
      <w:proofErr w:type="spellStart"/>
      <w:r w:rsidRPr="00B91524">
        <w:t>infaunal</w:t>
      </w:r>
      <w:proofErr w:type="spellEnd"/>
      <w:r w:rsidRPr="00B91524">
        <w:t xml:space="preserve"> and sessile communities associated with the Annex I sandbank feature are appropriately monitored.</w:t>
      </w:r>
    </w:p>
    <w:p w14:paraId="1FDB48E2" w14:textId="77777777" w:rsidR="00964325" w:rsidRPr="00B91524" w:rsidRDefault="00964325" w:rsidP="00964325">
      <w:pPr>
        <w:pStyle w:val="Reportbodytextnumbering"/>
        <w:numPr>
          <w:ilvl w:val="0"/>
          <w:numId w:val="0"/>
        </w:numPr>
        <w:ind w:left="709"/>
        <w:rPr>
          <w:b/>
          <w:bCs/>
        </w:rPr>
      </w:pPr>
      <w:r w:rsidRPr="00B91524">
        <w:rPr>
          <w:b/>
          <w:bCs/>
        </w:rPr>
        <w:t>Motile Epifauna and Demersal Fish Communities</w:t>
      </w:r>
    </w:p>
    <w:p w14:paraId="5012CBBA" w14:textId="63937FFD" w:rsidR="009D798D" w:rsidRPr="00B91524" w:rsidRDefault="00964325">
      <w:pPr>
        <w:pStyle w:val="Reportbodytextnumbering"/>
      </w:pPr>
      <w:bookmarkStart w:id="95" w:name="_Hlk61609672"/>
      <w:r w:rsidRPr="00B91524">
        <w:t xml:space="preserve">At a subset of </w:t>
      </w:r>
      <w:r w:rsidR="00EB4E3F" w:rsidRPr="00294036">
        <w:rPr>
          <w:highlight w:val="yellow"/>
        </w:rPr>
        <w:t>three</w:t>
      </w:r>
      <w:r w:rsidR="00EB4E3F" w:rsidRPr="00B91524">
        <w:t xml:space="preserve"> </w:t>
      </w:r>
      <w:r w:rsidRPr="00B91524">
        <w:t xml:space="preserve">of the </w:t>
      </w:r>
      <w:r w:rsidR="00F1236D" w:rsidRPr="00B91524">
        <w:t xml:space="preserve">WTG </w:t>
      </w:r>
      <w:r w:rsidRPr="00B91524">
        <w:t>locations</w:t>
      </w:r>
      <w:r w:rsidR="005A2086" w:rsidRPr="00B91524">
        <w:t xml:space="preserve"> (both pre- and post-construction)</w:t>
      </w:r>
      <w:r w:rsidRPr="00B91524">
        <w:t xml:space="preserve">, baited </w:t>
      </w:r>
      <w:r w:rsidR="00C93649" w:rsidRPr="00B91524">
        <w:t xml:space="preserve">remote </w:t>
      </w:r>
      <w:r w:rsidRPr="00B91524">
        <w:t xml:space="preserve">underwater video (BRUV) systems will be deployed to the seabed to assess the motile epifaunal and demersal fish species. BRUV systems will also be deployed at </w:t>
      </w:r>
      <w:r w:rsidR="00292CC9" w:rsidRPr="00B91524">
        <w:t xml:space="preserve">the OCP position, a </w:t>
      </w:r>
      <w:r w:rsidRPr="00B91524">
        <w:t xml:space="preserve">subset of </w:t>
      </w:r>
      <w:r w:rsidR="00A7254C" w:rsidRPr="00B91524">
        <w:t>one of the inter-array cables</w:t>
      </w:r>
      <w:r w:rsidR="00292CC9" w:rsidRPr="00B91524">
        <w:t xml:space="preserve"> (one side only), two </w:t>
      </w:r>
      <w:r w:rsidRPr="00B91524">
        <w:t xml:space="preserve">of the export cable route locations (one side only) and at </w:t>
      </w:r>
      <w:r w:rsidR="00292CC9" w:rsidRPr="00B91524">
        <w:t>five</w:t>
      </w:r>
      <w:r w:rsidRPr="00B91524">
        <w:t xml:space="preserve"> of the control locations. The methods used will be based on recent developments in the use of BRUVs as monitoring tools in low visibility environments around offshore renewable infrastructure </w:t>
      </w:r>
      <w:r w:rsidRPr="00B91524">
        <w:fldChar w:fldCharType="begin" w:fldLock="1"/>
      </w:r>
      <w:r w:rsidRPr="00B91524">
        <w:instrText>ADDIN CSL_CITATION {"citationItems":[{"id":"ITEM-1","itemData":{"DOI":"10.1371/journal.pone.0149701","ISSN":"1932-6203","author":[{"dropping-particle":"","family":"Griffin","given":"R.A","non-dropping-particle":"","parse-names":false,"suffix":""},{"dropping-particle":"","family":"Robinson","given":"G.J","non-dropping-particle":"","parse-names":false,"suffix":""},{"dropping-particle":"","family":"West","given":"A.","non-dropping-particle":"","parse-names":false,"suffix":""},{"dropping-particle":"","family":"Gloyne-Phillips","given":"I.T","non-dropping-particle":"","parse-names":false,"suffix":""},{"dropping-particle":"","family":"Unsworth","given":"R.F.K","non-dropping-particle":"","parse-names":false,"suffix":""}],"container-title":"PLOS ONE","editor":[{"dropping-particle":"","family":"Magar","given":"Vanesa","non-dropping-particle":"","parse-names":false,"suffix":""}],"id":"ITEM-1","issue":"3","issued":{"date-parts":[["2016","3","2"]]},"page":"e0149701","publisher":"PRIMER-E Ltd","title":"Assessing Fish and Motile Fauna around Offshore Windfarms Using Stereo Baited Video","type":"article-journal","volume":"11"},"uris":["http://www.mendeley.com/documents/?uuid=67e4def7-d76f-3827-a15c-b1a168467877"]},{"id":"ITEM-2","itemData":{"DOI":"10.7717/peerj.9744","ISSN":"21678359","abstract":"The use of baited remote underwater video (BRUV) for examining and monitoring marine biodiversity in temperate marine environments is rapidly growing, however many aspects of their effectiveness relies on assumptions based on studies from the Southern Hemisphere. The addition of bait to underwater camera systems acts as a stimulus for attracting individuals towards the camera field of view, however knowledge of the effectiveness of different bait types in northern temperate climbs is limited, particularly in dynamic coastal environments. Studies in the Southern Hemisphere indicate that oily baits are most effective whilst bait volume and weight do not impact BRUV effectiveness to any great degree. The present study assesses the influence of four bait types (mackerel, squid, crab and no bait (control)) on the relative abundance, taxonomic diversity and faunal assemblage composition at two independent locations within the North-Eastern Atlantic region; Swansea Bay, UK and Ria Formosa Lagoon, Portugal. Two different bait quantities (50 g and 350 g) were further trialled in Swansea Bay. Overall, patterns showed that baited deployments recorded statistically higher values of relative abundance and taxonomic diversity when compared to un-baited deployments in Swansea Bay but not in Ria Formosa Lagoon. No statistical evidence singled out one bait type as best performing for attracting higher abundances and taxonomic diversity in both locations. Faunal assemblage composition was however found to differ with bait type in Swansea Bay, with mackerel and squid attracting higher abundances of scavenging species compared to the crab and control treatments. With the exception of squid, bait quantity had minimal influence on bait attractiveness. It is recommended for consistency that a minimum of 50 g of cheap, oily fish such as mackerel is used as bait for BRUV deployments in shallow dynamic coastal environments in the North-Eastern Atlantic Region.","author":[{"dropping-particle":"","family":"Jones","given":"Robyn E.","non-dropping-particle":"","parse-names":false,"suffix":""},{"dropping-particle":"","family":"Griffin","given":"Ross A.","non-dropping-particle":"","parse-names":false,"suffix":""},{"dropping-particle":"","family":"Januchowski-Hartley","given":"Stephanie R.","non-dropping-particle":"","parse-names":false,"suffix":""},{"dropping-particle":"","family":"Unsworth","given":"Richard K.F.","non-dropping-particle":"","parse-names":false,"suffix":""}],"container-title":"PeerJ","id":"ITEM-2","issue":"August","issued":{"date-parts":[["2020"]]},"title":"The influence of bait on remote underwater video observations in shallow-water coastal environments associated with the North-Eastern atlantic","type":"article-journal","volume":"8"},"uris":["http://www.mendeley.com/documents/?uuid=89eedb13-8ed4-4917-936a-909dc7a7c655"]},{"id":"ITEM-3","itemData":{"DOI":"10.1016/j.ecss.2014.03.020","ISBN":"0272-7714","ISSN":"02727714","abstract":"Stereo Baited Remote Underwater Video systems (BRUVs) provide a quantitative sampling method for assessing mobile fauna in a range of habitat types and environments. This non-destructive and cost-effective technique is increasingly used for assessing estuarine, coastal and marine fauna. Although single camera systems have been used to assess the relative abundance (Nmax) of marine fish and invertebrates in low visibility North Atlantic near shore and coastal waters, stereo systems remain in their infancy within such environments and their use requires validation. Stereo systems that measure fish and invertebrate size enable size-frequency analysis of populations, providing critical information about life history and population status. We investigated the performance and efficacy of stereo BRUV systems within Welsh shallow coastal waters to test the effectiveness of this method. Data are presented on the capacity of the system to measure fish and invertebrate size under the constraints of low visibility (&lt;2m). We also present data on the required duration of deployment required to effectively sample relative fish abundance and diversity. Our study recorded 19 species of mobile fauna with species-time accumulation curves providing evidence that a minimum deployment time of 1h is required to sample 66% of the fish species, and 2h to sample 83%. Results suggest that the efficiency of surveys for target species (e.g. gadoids) could be maximised by modifying the sampling duration between 1h and 2h. The study also demonstrates that measurements of fish and invertebrate length could be taken on 41% of individuals (of those counted in relative abundance measures using Nmax), a statistic that varies between species. This indicates a need to modify the construction of the equipment for improved fish assemblage size frequency analysis. This is particularly relevant in areas and habitats where seine netting and trawling are not possible. We describe how the system can be modified for optimised usage within low visibility waters and suggest potential uses of the system.","author":[{"dropping-particle":"","family":"Unsworth","given":"R. K F","non-dropping-particle":"","parse-names":false,"suffix":""},{"dropping-particle":"","family":"Peters","given":"J. R.","non-dropping-particle":"","parse-names":false,"suffix":""},{"dropping-particle":"","family":"McCloskey","given":"R. M.","non-dropping-particle":"","parse-names":false,"suffix":""},{"dropping-particle":"","family":"Hinder","given":"S. L.","non-dropping-particle":"","parse-names":false,"suffix":""}],"container-title":"Estuarine, Coastal and Shelf Science","id":"ITEM-3","issue":"PB","issued":{"date-parts":[["2014"]]},"page":"281-287","publisher":"Elsevier Ltd","title":"Optimising stereo baited underwater video for sampling fish and invertebrates in temperate coastal habitats","type":"article-journal","volume":"150"},"uris":["http://www.mendeley.com/documents/?uuid=95ff41e1-26fb-43cf-8d0e-fa6f9f139a7f"]}],"mendeley":{"formattedCitation":"(Griffin et al., 2016; Jones et al., 2020; Unsworth et al., 2014)","plainTextFormattedCitation":"(Griffin et al., 2016; Jones et al., 2020; Unsworth et al., 2014)","previouslyFormattedCitation":"(Griffin et al., 2016; Jones et al., 2020; Unsworth et al., 2014)"},"properties":{"noteIndex":0},"schema":"https://github.com/citation-style-language/schema/raw/master/csl-citation.json"}</w:instrText>
      </w:r>
      <w:r w:rsidRPr="00B91524">
        <w:fldChar w:fldCharType="separate"/>
      </w:r>
      <w:r w:rsidRPr="00B91524">
        <w:rPr>
          <w:noProof/>
        </w:rPr>
        <w:t>(Griffin et al., 2016; Jones et al., 2020; Unsworth et al., 2014)</w:t>
      </w:r>
      <w:r w:rsidRPr="00B91524">
        <w:fldChar w:fldCharType="end"/>
      </w:r>
      <w:r w:rsidRPr="00B91524">
        <w:t xml:space="preserve"> and will provide a low cost and non-extractive method for assessing motile epibiota and demersal fish species in the vicinity of the infrastructure locations that would otherwise be missed through use of drop-down video transects alone</w:t>
      </w:r>
      <w:bookmarkEnd w:id="95"/>
      <w:r w:rsidRPr="00B91524">
        <w:t xml:space="preserve">. This information will be considered alongside the data collected during the annual investigations of the mega-epibenthos on the Dogger Bank conducted by SRI. This includes sampling using a 2 m beam trawl and a ring dredge at 37 long-term monitoring stations located across the Dogger Bank SAC including several within the SOWF array and export cable corridor areas (see Appendix B). </w:t>
      </w:r>
      <w:bookmarkStart w:id="96" w:name="_Hlk55897809"/>
      <w:r w:rsidRPr="00B91524">
        <w:t xml:space="preserve">The combination of the BRUV sampling and consideration of the SRI datasets will ensure both </w:t>
      </w:r>
      <w:proofErr w:type="spellStart"/>
      <w:r w:rsidRPr="00B91524">
        <w:t>localised</w:t>
      </w:r>
      <w:proofErr w:type="spellEnd"/>
      <w:r w:rsidRPr="00B91524">
        <w:t xml:space="preserve"> and far field impacts on the epibiotic and demersal fish communities associated with the Annex I sandbank feature are appropriately monitored.</w:t>
      </w:r>
      <w:bookmarkEnd w:id="96"/>
    </w:p>
    <w:p w14:paraId="068F0ADD" w14:textId="0C1EDB04" w:rsidR="002D1896" w:rsidRPr="00B91524" w:rsidRDefault="002D1896" w:rsidP="002D1896">
      <w:pPr>
        <w:pStyle w:val="Heading3"/>
      </w:pPr>
      <w:bookmarkStart w:id="97" w:name="_Ref46089713"/>
      <w:bookmarkStart w:id="98" w:name="_Toc74670336"/>
      <w:r w:rsidRPr="00B91524">
        <w:t>Cumulative Impacts</w:t>
      </w:r>
      <w:bookmarkEnd w:id="97"/>
      <w:bookmarkEnd w:id="98"/>
    </w:p>
    <w:p w14:paraId="472EB8CA" w14:textId="5A9E63D7" w:rsidR="00E30313" w:rsidRPr="00B91524" w:rsidRDefault="002D1896" w:rsidP="007908D8">
      <w:pPr>
        <w:pStyle w:val="Reportbodytextnumbering"/>
      </w:pPr>
      <w:r w:rsidRPr="00B91524">
        <w:t xml:space="preserve">SOWF is located within the Dogger Bank SAC, as are the Dogger Bank A, B and C sites (Figure 1). </w:t>
      </w:r>
      <w:r w:rsidR="00E30313" w:rsidRPr="00B91524">
        <w:t>Despite</w:t>
      </w:r>
      <w:r w:rsidRPr="00B91524">
        <w:t xml:space="preserve"> all four projects </w:t>
      </w:r>
      <w:r w:rsidR="00E30313" w:rsidRPr="00B91524">
        <w:t>being</w:t>
      </w:r>
      <w:r w:rsidRPr="00B91524">
        <w:t xml:space="preserve"> consented at similar times and follow</w:t>
      </w:r>
      <w:r w:rsidR="00E30313" w:rsidRPr="00B91524">
        <w:t xml:space="preserve">ing </w:t>
      </w:r>
      <w:r w:rsidRPr="00B91524">
        <w:t xml:space="preserve">broadly similar development timelines, </w:t>
      </w:r>
      <w:r w:rsidR="00CB0A0F" w:rsidRPr="00B91524">
        <w:t xml:space="preserve">based on discussions with </w:t>
      </w:r>
      <w:r w:rsidR="00B6625D" w:rsidRPr="00B91524">
        <w:t xml:space="preserve">the </w:t>
      </w:r>
      <w:r w:rsidR="00CB0A0F" w:rsidRPr="00B91524">
        <w:t xml:space="preserve">Dogger Bank </w:t>
      </w:r>
      <w:r w:rsidR="00B6625D" w:rsidRPr="00B91524">
        <w:t>p</w:t>
      </w:r>
      <w:r w:rsidR="00CB0A0F" w:rsidRPr="00B91524">
        <w:t xml:space="preserve">rojects, </w:t>
      </w:r>
      <w:r w:rsidRPr="00B91524">
        <w:t xml:space="preserve">the start </w:t>
      </w:r>
      <w:r w:rsidR="00CB0A0F" w:rsidRPr="00B91524">
        <w:t xml:space="preserve">dates </w:t>
      </w:r>
      <w:r w:rsidRPr="00B91524">
        <w:t xml:space="preserve">of offshore construction activities </w:t>
      </w:r>
      <w:r w:rsidR="00036EDE" w:rsidRPr="00B91524">
        <w:t xml:space="preserve">are </w:t>
      </w:r>
      <w:r w:rsidR="00CB0A0F" w:rsidRPr="00B91524">
        <w:t xml:space="preserve">not expected </w:t>
      </w:r>
      <w:r w:rsidR="00036EDE" w:rsidRPr="00B91524">
        <w:t>to be</w:t>
      </w:r>
      <w:r w:rsidR="00CB0A0F" w:rsidRPr="00B91524">
        <w:t xml:space="preserve"> the same.  Whilst certain construction activities may overlap for some of the projects, construction activities in the array area for all four projects occurring at the same time is not anticipated.  </w:t>
      </w:r>
    </w:p>
    <w:p w14:paraId="4F481DF4" w14:textId="5948E37F" w:rsidR="00B072E3" w:rsidRPr="00B91524" w:rsidRDefault="00B072E3" w:rsidP="007908D8">
      <w:pPr>
        <w:pStyle w:val="Reportbodytextnumbering"/>
      </w:pPr>
      <w:r w:rsidRPr="00B91524">
        <w:t xml:space="preserve">Chapter 9 (Marine Physical Processes) of the ES </w:t>
      </w:r>
      <w:r w:rsidR="00EE00B8" w:rsidRPr="00B91524">
        <w:t>(</w:t>
      </w:r>
      <w:proofErr w:type="spellStart"/>
      <w:r w:rsidR="00EE00B8" w:rsidRPr="00B91524">
        <w:t>Forewind</w:t>
      </w:r>
      <w:proofErr w:type="spellEnd"/>
      <w:r w:rsidR="00EE00B8" w:rsidRPr="00B91524">
        <w:t xml:space="preserve">, 2014) </w:t>
      </w:r>
      <w:r w:rsidRPr="00B91524">
        <w:t>stated that the potential for the accumulation of thick ‘sequences’ of sediment due to plume interaction (and associated deposition) was considered to be low</w:t>
      </w:r>
      <w:r w:rsidR="00E30313" w:rsidRPr="00B91524">
        <w:t xml:space="preserve"> meaning a negligible cumulative impact on marine ecological receptors was predicted. This was for a scenario that considered the concurrent build of all four of the projects within the Dogger Bank SAC, although the known schedules of offshore construction now indicate that it is highly unlikely that this will be the case. Longer periods of time between ‘disturbance events’ will further reduce any potential for cumulative impacts to arise from suspended sediment and deposition.</w:t>
      </w:r>
    </w:p>
    <w:p w14:paraId="2D42CC4D" w14:textId="244AE240" w:rsidR="00CF0CC7" w:rsidRPr="00B91524" w:rsidRDefault="00CF0CC7" w:rsidP="007908D8">
      <w:pPr>
        <w:pStyle w:val="Reportbodytextnumbering"/>
        <w:rPr>
          <w:lang w:eastAsia="en-US"/>
        </w:rPr>
      </w:pPr>
      <w:r w:rsidRPr="00B91524">
        <w:lastRenderedPageBreak/>
        <w:t>Since cumulative impacts were not predicted in the ES and the anticipated construction timeframes further reduce any potential for cumulative impacts</w:t>
      </w:r>
      <w:r w:rsidR="00EE00B8" w:rsidRPr="00B91524">
        <w:t>,</w:t>
      </w:r>
      <w:r w:rsidRPr="00B91524">
        <w:t xml:space="preserve"> </w:t>
      </w:r>
      <w:r w:rsidR="002D1896" w:rsidRPr="00B91524">
        <w:rPr>
          <w:lang w:eastAsia="en-US"/>
        </w:rPr>
        <w:t xml:space="preserve">no </w:t>
      </w:r>
      <w:r w:rsidRPr="00B91524">
        <w:rPr>
          <w:lang w:eastAsia="en-US"/>
        </w:rPr>
        <w:t>further sampling</w:t>
      </w:r>
      <w:r w:rsidR="002D1896" w:rsidRPr="00B91524">
        <w:rPr>
          <w:lang w:eastAsia="en-US"/>
        </w:rPr>
        <w:t xml:space="preserve"> is proposed</w:t>
      </w:r>
      <w:r w:rsidRPr="00B91524">
        <w:rPr>
          <w:lang w:eastAsia="en-US"/>
        </w:rPr>
        <w:t xml:space="preserve"> </w:t>
      </w:r>
      <w:r w:rsidR="000F04A4" w:rsidRPr="00B91524">
        <w:rPr>
          <w:lang w:eastAsia="en-US"/>
        </w:rPr>
        <w:t xml:space="preserve">as part of the SOWFL specific monitoring </w:t>
      </w:r>
      <w:r w:rsidRPr="00B91524">
        <w:rPr>
          <w:lang w:eastAsia="en-US"/>
        </w:rPr>
        <w:t xml:space="preserve">to assess regional scale cumulative impacts. </w:t>
      </w:r>
    </w:p>
    <w:p w14:paraId="1FEC01B8" w14:textId="709D8FF6" w:rsidR="00C55618" w:rsidRPr="00B91524" w:rsidRDefault="002D1896" w:rsidP="00C55618">
      <w:pPr>
        <w:pStyle w:val="Reportbodytextnumbering"/>
      </w:pPr>
      <w:r w:rsidRPr="00B91524">
        <w:t xml:space="preserve">SOWFL </w:t>
      </w:r>
      <w:r w:rsidR="004465C6" w:rsidRPr="00B91524">
        <w:t xml:space="preserve">have however agreed to collaborate with SRI to collect </w:t>
      </w:r>
      <w:r w:rsidR="000A49D9" w:rsidRPr="00B91524">
        <w:t>an additional 82 0.1 m</w:t>
      </w:r>
      <w:r w:rsidR="000A49D9" w:rsidRPr="00B91524">
        <w:rPr>
          <w:vertAlign w:val="superscript"/>
        </w:rPr>
        <w:t>2</w:t>
      </w:r>
      <w:r w:rsidR="000A49D9" w:rsidRPr="00B91524">
        <w:t xml:space="preserve"> Hamon grab samples across the Dogger Bank SAC </w:t>
      </w:r>
      <w:r w:rsidR="00C55618" w:rsidRPr="00B91524">
        <w:t xml:space="preserve">in summer 2021 which will be used </w:t>
      </w:r>
      <w:r w:rsidR="00763BCF" w:rsidRPr="00B91524">
        <w:t>alongside</w:t>
      </w:r>
      <w:r w:rsidR="00C55618" w:rsidRPr="00B91524">
        <w:t xml:space="preserve"> the </w:t>
      </w:r>
      <w:r w:rsidR="00CF0CC7" w:rsidRPr="00B91524">
        <w:t>r</w:t>
      </w:r>
      <w:r w:rsidRPr="00B91524">
        <w:t>ing dredge</w:t>
      </w:r>
      <w:r w:rsidR="00C55618" w:rsidRPr="00B91524">
        <w:t xml:space="preserve"> and</w:t>
      </w:r>
      <w:r w:rsidRPr="00B91524">
        <w:t xml:space="preserve"> beam trawl </w:t>
      </w:r>
      <w:r w:rsidR="00C55618" w:rsidRPr="00B91524">
        <w:t>data</w:t>
      </w:r>
      <w:r w:rsidR="00763BCF" w:rsidRPr="00B91524">
        <w:t xml:space="preserve"> to be collected as part of SRI’s long-term monitoring to act as a baseline against which </w:t>
      </w:r>
      <w:r w:rsidR="00FC3085" w:rsidRPr="00B91524">
        <w:t xml:space="preserve">future monitoring data can be compared to assess for potential broad-scale regional impacts on the Annex I sand bank feature of the Dogger Bank SAC. </w:t>
      </w:r>
      <w:r w:rsidR="00763BCF" w:rsidRPr="00B91524">
        <w:t xml:space="preserve">  </w:t>
      </w:r>
    </w:p>
    <w:p w14:paraId="4A862E9C" w14:textId="607E6030" w:rsidR="00CF0CC7" w:rsidRPr="00B91524" w:rsidRDefault="00CF0CC7" w:rsidP="00C55618">
      <w:pPr>
        <w:pStyle w:val="Reportbodytextnumbering"/>
      </w:pPr>
      <w:r w:rsidRPr="00B91524">
        <w:t xml:space="preserve">Combined with the SRI long-term data set, </w:t>
      </w:r>
      <w:r w:rsidR="00FC3085" w:rsidRPr="00B91524">
        <w:t xml:space="preserve">this </w:t>
      </w:r>
      <w:r w:rsidRPr="00B91524">
        <w:t xml:space="preserve">newly acquired data alongside the project specific sampling data </w:t>
      </w:r>
      <w:r w:rsidR="00FC3085" w:rsidRPr="00B91524">
        <w:t xml:space="preserve">will </w:t>
      </w:r>
      <w:r w:rsidRPr="00B91524">
        <w:t xml:space="preserve">help </w:t>
      </w:r>
      <w:r w:rsidR="00FC3085" w:rsidRPr="00B91524">
        <w:t xml:space="preserve">to </w:t>
      </w:r>
      <w:r w:rsidRPr="00B91524">
        <w:t xml:space="preserve">differentiate any changes attributable to the development of SOWF from </w:t>
      </w:r>
      <w:r w:rsidR="00C64158" w:rsidRPr="00B91524">
        <w:t>the other dominant anthropogenic activities across the Dogger Bank SAC (e.g. bottom trawling).</w:t>
      </w:r>
      <w:r w:rsidR="00930D68" w:rsidRPr="00B91524">
        <w:t xml:space="preserve"> </w:t>
      </w:r>
      <w:r w:rsidRPr="00B91524">
        <w:t>This will enable more accurate conclusions to be drawn with respect to the reasons for any changes in the benthic faunal communit</w:t>
      </w:r>
      <w:r w:rsidR="000F04A4" w:rsidRPr="00B91524">
        <w:t>ies across</w:t>
      </w:r>
      <w:r w:rsidRPr="00B91524">
        <w:t xml:space="preserve"> Dogger Bank over a timeframe that would not normally be possible for a monitoring </w:t>
      </w:r>
      <w:proofErr w:type="spellStart"/>
      <w:r w:rsidRPr="00B91524">
        <w:t>programme</w:t>
      </w:r>
      <w:proofErr w:type="spellEnd"/>
      <w:r w:rsidRPr="00B91524">
        <w:t xml:space="preserve"> for a standalone </w:t>
      </w:r>
      <w:r w:rsidR="00B6625D" w:rsidRPr="00B91524">
        <w:t>offshore wind farm</w:t>
      </w:r>
      <w:r w:rsidRPr="00B91524">
        <w:t xml:space="preserve"> project.</w:t>
      </w:r>
    </w:p>
    <w:p w14:paraId="5FCA1FAC" w14:textId="2171289D" w:rsidR="00FF0FAE" w:rsidRPr="00B91524" w:rsidRDefault="00FF0FAE" w:rsidP="00FF0FAE">
      <w:pPr>
        <w:pStyle w:val="Heading2"/>
      </w:pPr>
      <w:bookmarkStart w:id="99" w:name="_Ref46089824"/>
      <w:bookmarkStart w:id="100" w:name="_Ref46089846"/>
      <w:bookmarkStart w:id="101" w:name="_Toc74670337"/>
      <w:r w:rsidRPr="00B91524">
        <w:t>Feature of Focus II: Biogenic/geogenic reef</w:t>
      </w:r>
      <w:bookmarkEnd w:id="99"/>
      <w:bookmarkEnd w:id="100"/>
      <w:bookmarkEnd w:id="101"/>
      <w:r w:rsidR="00245D51" w:rsidRPr="00B91524">
        <w:t xml:space="preserve"> </w:t>
      </w:r>
    </w:p>
    <w:p w14:paraId="1F663432" w14:textId="77777777" w:rsidR="00C83FEB" w:rsidRPr="00B91524" w:rsidRDefault="00C83FEB" w:rsidP="00C83FEB">
      <w:pPr>
        <w:pStyle w:val="Heading3"/>
      </w:pPr>
      <w:bookmarkStart w:id="102" w:name="_Toc74670338"/>
      <w:r w:rsidRPr="00B91524">
        <w:t>Objective</w:t>
      </w:r>
      <w:bookmarkEnd w:id="102"/>
    </w:p>
    <w:p w14:paraId="67D43D6F" w14:textId="6FB10E71" w:rsidR="00EA270F" w:rsidRPr="00B91524" w:rsidRDefault="00FC6D2F" w:rsidP="007908D8">
      <w:pPr>
        <w:pStyle w:val="Reportbodytextnumbering"/>
      </w:pPr>
      <w:r w:rsidRPr="00B91524">
        <w:t>The main objective of the monitoring focused on assessing biogenic</w:t>
      </w:r>
      <w:r w:rsidR="00245D51" w:rsidRPr="00B91524">
        <w:t>/</w:t>
      </w:r>
      <w:r w:rsidRPr="00B91524">
        <w:t xml:space="preserve">geogenic reef habitats will be to </w:t>
      </w:r>
      <w:proofErr w:type="spellStart"/>
      <w:r w:rsidR="00EA270F" w:rsidRPr="00B91524">
        <w:t>characterise</w:t>
      </w:r>
      <w:proofErr w:type="spellEnd"/>
      <w:r w:rsidR="00EA270F" w:rsidRPr="00B91524">
        <w:t xml:space="preserve"> and identify, where possible, any </w:t>
      </w:r>
      <w:proofErr w:type="spellStart"/>
      <w:r w:rsidR="00EA270F" w:rsidRPr="00B91524">
        <w:t>localised</w:t>
      </w:r>
      <w:proofErr w:type="spellEnd"/>
      <w:r w:rsidR="00EA270F" w:rsidRPr="00B91524">
        <w:t xml:space="preserve"> effects of the project infrastructure (foundations and cables) on </w:t>
      </w:r>
      <w:r w:rsidR="00E85D64" w:rsidRPr="00B91524">
        <w:t xml:space="preserve">directly affected </w:t>
      </w:r>
      <w:r w:rsidR="00EA270F" w:rsidRPr="00B91524">
        <w:t>habitats as a means</w:t>
      </w:r>
      <w:r w:rsidR="00A23E50" w:rsidRPr="00B91524">
        <w:t xml:space="preserve"> </w:t>
      </w:r>
      <w:r w:rsidR="00EA270F" w:rsidRPr="00B91524">
        <w:t>to validate the predictions made in the ES.</w:t>
      </w:r>
    </w:p>
    <w:p w14:paraId="58C8A1B9" w14:textId="46F228F0" w:rsidR="00C83FEB" w:rsidRPr="00B91524" w:rsidRDefault="00D61AD1" w:rsidP="00C83FEB">
      <w:pPr>
        <w:pStyle w:val="Heading3"/>
      </w:pPr>
      <w:bookmarkStart w:id="103" w:name="_Toc74670339"/>
      <w:r w:rsidRPr="00B91524">
        <w:t>Approach</w:t>
      </w:r>
      <w:bookmarkEnd w:id="103"/>
    </w:p>
    <w:p w14:paraId="1709D780" w14:textId="77253D14" w:rsidR="00D61AD1" w:rsidRPr="00B91524" w:rsidRDefault="00BB64DB" w:rsidP="007908D8">
      <w:pPr>
        <w:pStyle w:val="Reportbodytextnumbering"/>
      </w:pPr>
      <w:r w:rsidRPr="00B91524">
        <w:t>A</w:t>
      </w:r>
      <w:r w:rsidR="00D61AD1" w:rsidRPr="00B91524">
        <w:t xml:space="preserve"> targeted sampling approach </w:t>
      </w:r>
      <w:r w:rsidR="00A675E5" w:rsidRPr="00B91524">
        <w:t xml:space="preserve">has been </w:t>
      </w:r>
      <w:r w:rsidR="00D61AD1" w:rsidRPr="00B91524">
        <w:t xml:space="preserve">adopted to ensure that representative examples of each of the habitat(s) confirmed to be present </w:t>
      </w:r>
      <w:r w:rsidR="00A675E5" w:rsidRPr="00B91524">
        <w:t xml:space="preserve">during the 2020 SI survey </w:t>
      </w:r>
      <w:proofErr w:type="spellStart"/>
      <w:r w:rsidR="00A675E5" w:rsidRPr="00B91524">
        <w:t>programme</w:t>
      </w:r>
      <w:proofErr w:type="spellEnd"/>
      <w:r w:rsidR="00A675E5" w:rsidRPr="00B91524">
        <w:t xml:space="preserve"> </w:t>
      </w:r>
      <w:r w:rsidR="00D61AD1" w:rsidRPr="00B91524">
        <w:t xml:space="preserve">within the proposed construction areas are suitably monitored. This will involve the collection of seabed imagery in the form of continuous video and high-resolution stills every 5-10 m along transects positioned to determine the extent of the habitats and ground-truth interpretation of the geophysical survey data to be collected as part of the Geophysical (Bathymetrical) Monitoring Plan (SOWFL, 2019a). </w:t>
      </w:r>
      <w:r w:rsidR="001F2874" w:rsidRPr="00B91524">
        <w:t>All seabed imagery will be collected in line with the latest JNCC/NMBAQC guidelines (</w:t>
      </w:r>
      <w:proofErr w:type="spellStart"/>
      <w:r w:rsidR="001F2874" w:rsidRPr="00B91524">
        <w:t>Hitchin</w:t>
      </w:r>
      <w:proofErr w:type="spellEnd"/>
      <w:r w:rsidR="001F2874" w:rsidRPr="00B91524">
        <w:t xml:space="preserve"> et al., 2015). </w:t>
      </w:r>
      <w:r w:rsidR="00D61AD1" w:rsidRPr="00B91524">
        <w:t xml:space="preserve">Detailed analysis of the still images will also provide a means of quantitatively assessing the other relevant monitoring indicators for each habitat identified (e.g. elevation and patchiness for </w:t>
      </w:r>
      <w:r w:rsidR="00D61AD1" w:rsidRPr="00B91524">
        <w:rPr>
          <w:i/>
          <w:iCs/>
        </w:rPr>
        <w:t>S. spinulosa</w:t>
      </w:r>
      <w:r w:rsidR="00D61AD1" w:rsidRPr="00B91524">
        <w:t xml:space="preserve"> reefs if encountered). </w:t>
      </w:r>
    </w:p>
    <w:p w14:paraId="014D1CCE" w14:textId="609AAA8D" w:rsidR="00145675" w:rsidRPr="00B91524" w:rsidRDefault="00D61AD1" w:rsidP="001F2874">
      <w:pPr>
        <w:pStyle w:val="Reportbodytextnumbering"/>
      </w:pPr>
      <w:r w:rsidRPr="00B91524">
        <w:t xml:space="preserve">Due to the scale of the SOWF array area and length of the export cable route, SOWFL </w:t>
      </w:r>
      <w:r w:rsidR="00932424" w:rsidRPr="00B91524">
        <w:t xml:space="preserve">have </w:t>
      </w:r>
      <w:r w:rsidRPr="00B91524">
        <w:t>propose</w:t>
      </w:r>
      <w:r w:rsidR="00932424" w:rsidRPr="00B91524">
        <w:t>d</w:t>
      </w:r>
      <w:r w:rsidRPr="00B91524">
        <w:t xml:space="preserve"> that a number of representative Areas of Focus </w:t>
      </w:r>
      <w:r w:rsidR="00245D51" w:rsidRPr="00B91524">
        <w:t>(</w:t>
      </w:r>
      <w:proofErr w:type="spellStart"/>
      <w:r w:rsidR="00245D51" w:rsidRPr="00B91524">
        <w:t>AoF</w:t>
      </w:r>
      <w:proofErr w:type="spellEnd"/>
      <w:r w:rsidR="00245D51" w:rsidRPr="00B91524">
        <w:t xml:space="preserve">) </w:t>
      </w:r>
      <w:r w:rsidRPr="00B91524">
        <w:t xml:space="preserve">are targeted for monitoring </w:t>
      </w:r>
      <w:r w:rsidR="00932424" w:rsidRPr="00B91524">
        <w:t xml:space="preserve">despite </w:t>
      </w:r>
      <w:r w:rsidRPr="00B91524">
        <w:t xml:space="preserve">multiple areas of </w:t>
      </w:r>
      <w:r w:rsidR="00245D51" w:rsidRPr="00B91524">
        <w:t>reef habitat</w:t>
      </w:r>
      <w:r w:rsidRPr="00B91524">
        <w:t xml:space="preserve"> </w:t>
      </w:r>
      <w:r w:rsidR="00932424" w:rsidRPr="00B91524">
        <w:t xml:space="preserve">being </w:t>
      </w:r>
      <w:r w:rsidRPr="00B91524">
        <w:t xml:space="preserve">located within the proposed construction area. </w:t>
      </w:r>
      <w:r w:rsidR="00DB3203" w:rsidRPr="00B91524">
        <w:t>This means that a subset of the reef habitats</w:t>
      </w:r>
      <w:r w:rsidRPr="00B91524">
        <w:t xml:space="preserve"> identified within the proposed construction area</w:t>
      </w:r>
      <w:r w:rsidR="00DB3203" w:rsidRPr="00B91524">
        <w:t xml:space="preserve"> during the 2020 SI campaign have been selected to act as </w:t>
      </w:r>
      <w:r w:rsidRPr="00B91524">
        <w:t xml:space="preserve">proxies for the </w:t>
      </w:r>
      <w:r w:rsidR="00DB3203" w:rsidRPr="00B91524">
        <w:t xml:space="preserve">other </w:t>
      </w:r>
      <w:r w:rsidRPr="00B91524">
        <w:t>reef</w:t>
      </w:r>
      <w:r w:rsidR="00DB3203" w:rsidRPr="00B91524">
        <w:t xml:space="preserve"> areas not to be sampled</w:t>
      </w:r>
      <w:r w:rsidRPr="00B91524">
        <w:t>.</w:t>
      </w:r>
      <w:r w:rsidR="00245D51" w:rsidRPr="00B91524">
        <w:t xml:space="preserve"> </w:t>
      </w:r>
      <w:r w:rsidR="008256A0" w:rsidRPr="00B91524">
        <w:t xml:space="preserve">Appendix I provides the final sampling design along with the rationale for the nearshore </w:t>
      </w:r>
      <w:r w:rsidR="00085E8F" w:rsidRPr="00B91524">
        <w:t>transects out to KP 10</w:t>
      </w:r>
      <w:r w:rsidR="00145675" w:rsidRPr="00B91524">
        <w:t xml:space="preserve"> whilst Appendix </w:t>
      </w:r>
      <w:r w:rsidR="007443E4" w:rsidRPr="00B91524">
        <w:t>J</w:t>
      </w:r>
      <w:r w:rsidR="00145675" w:rsidRPr="00B91524">
        <w:t xml:space="preserve"> provides the same for offshore areas beyond KP 10</w:t>
      </w:r>
      <w:r w:rsidRPr="00B91524">
        <w:t>.</w:t>
      </w:r>
      <w:r w:rsidR="00454C16" w:rsidRPr="00B91524">
        <w:t xml:space="preserve"> </w:t>
      </w:r>
    </w:p>
    <w:p w14:paraId="3C227C0C" w14:textId="295CBF9B" w:rsidR="00ED6BF2" w:rsidRPr="00B91524" w:rsidRDefault="00ED6BF2" w:rsidP="001F2874">
      <w:pPr>
        <w:pStyle w:val="Reportbodytextnumbering"/>
      </w:pPr>
      <w:r w:rsidRPr="00B91524">
        <w:lastRenderedPageBreak/>
        <w:t xml:space="preserve">All seabed imagery analysis will be undertaken in </w:t>
      </w:r>
      <w:r w:rsidR="00145675" w:rsidRPr="00B91524">
        <w:t xml:space="preserve">consideration of </w:t>
      </w:r>
      <w:r w:rsidRPr="00B91524">
        <w:t xml:space="preserve">the latest NMBAQC/JNCC epibiota remote monitoring interpretation guidelines (Turner </w:t>
      </w:r>
      <w:r w:rsidRPr="00B91524">
        <w:rPr>
          <w:i/>
          <w:iCs/>
        </w:rPr>
        <w:t>et al.</w:t>
      </w:r>
      <w:r w:rsidRPr="00B91524">
        <w:t xml:space="preserve"> 2016) using annotation software (e.g</w:t>
      </w:r>
      <w:r w:rsidR="00454C16" w:rsidRPr="00B91524">
        <w:t>.</w:t>
      </w:r>
      <w:r w:rsidRPr="00B91524">
        <w:t xml:space="preserve"> the BIIGLE annotation platform (</w:t>
      </w:r>
      <w:proofErr w:type="spellStart"/>
      <w:r w:rsidRPr="00B91524">
        <w:t>Langenkämper</w:t>
      </w:r>
      <w:proofErr w:type="spellEnd"/>
      <w:r w:rsidRPr="00B91524">
        <w:t xml:space="preserve"> </w:t>
      </w:r>
      <w:r w:rsidRPr="00B91524">
        <w:rPr>
          <w:i/>
          <w:iCs/>
        </w:rPr>
        <w:t>et al</w:t>
      </w:r>
      <w:r w:rsidRPr="00B91524">
        <w:t xml:space="preserve">. 2017)) to fully record counts and percentage coverage of all epibenthic taxa visible. </w:t>
      </w:r>
      <w:r w:rsidR="00A23E50" w:rsidRPr="00B91524">
        <w:t xml:space="preserve">EUNIS classifications </w:t>
      </w:r>
      <w:r w:rsidRPr="00B91524">
        <w:t xml:space="preserve">will subsequently be assigned to all stills in </w:t>
      </w:r>
      <w:r w:rsidR="00145675" w:rsidRPr="00B91524">
        <w:t>consideration of</w:t>
      </w:r>
      <w:r w:rsidRPr="00B91524">
        <w:t xml:space="preserve"> the most recent JNCC guidance on assigning benthic biotopes (Parry 2019). When </w:t>
      </w:r>
      <w:r w:rsidRPr="00B91524">
        <w:rPr>
          <w:i/>
          <w:iCs/>
        </w:rPr>
        <w:t>S. spinulosa</w:t>
      </w:r>
      <w:r w:rsidRPr="00B91524">
        <w:t xml:space="preserve"> and/or stony reef habitats are observed, the still images will also undergo a ‘</w:t>
      </w:r>
      <w:proofErr w:type="spellStart"/>
      <w:r w:rsidRPr="00B91524">
        <w:t>reefiness</w:t>
      </w:r>
      <w:proofErr w:type="spellEnd"/>
      <w:r w:rsidRPr="00B91524">
        <w:t>’ assessment in line with Gubbay (2007) and Irving (2009). Ten percent of the stills will be subject to internal Quality Assurance (QA). Results will be provided in a excel spreadsheet complying with MEDIN data standards, with the most up to date names checked against the World Register of Marine Species (</w:t>
      </w:r>
      <w:proofErr w:type="spellStart"/>
      <w:r w:rsidRPr="00B91524">
        <w:t>WoRMS</w:t>
      </w:r>
      <w:proofErr w:type="spellEnd"/>
      <w:r w:rsidRPr="00B91524">
        <w:t>) database.</w:t>
      </w:r>
    </w:p>
    <w:p w14:paraId="78C80167" w14:textId="41828943" w:rsidR="00FF0FAE" w:rsidRPr="00B91524" w:rsidRDefault="00FF0FAE" w:rsidP="00FF0FAE">
      <w:pPr>
        <w:pStyle w:val="Heading2"/>
      </w:pPr>
      <w:bookmarkStart w:id="104" w:name="_Ref48642887"/>
      <w:bookmarkStart w:id="105" w:name="_Toc74670340"/>
      <w:r w:rsidRPr="00B91524">
        <w:t>Feature of Focus i</w:t>
      </w:r>
      <w:r w:rsidR="00453BF4" w:rsidRPr="00B91524">
        <w:t>II</w:t>
      </w:r>
      <w:r w:rsidRPr="00B91524">
        <w:t>: Invasive non-native species</w:t>
      </w:r>
      <w:bookmarkEnd w:id="104"/>
      <w:bookmarkEnd w:id="105"/>
    </w:p>
    <w:p w14:paraId="1ACCE518" w14:textId="77777777" w:rsidR="00B97B0C" w:rsidRPr="00B91524" w:rsidRDefault="00B97B0C" w:rsidP="00B97B0C">
      <w:pPr>
        <w:pStyle w:val="Heading3"/>
      </w:pPr>
      <w:bookmarkStart w:id="106" w:name="_Toc74670341"/>
      <w:r w:rsidRPr="00B91524">
        <w:t>Objective</w:t>
      </w:r>
      <w:bookmarkEnd w:id="106"/>
    </w:p>
    <w:p w14:paraId="417D9925" w14:textId="0FB32C1F" w:rsidR="00B97B0C" w:rsidRPr="00B91524" w:rsidRDefault="00F72408" w:rsidP="007908D8">
      <w:pPr>
        <w:pStyle w:val="Reportbodytextnumbering"/>
      </w:pPr>
      <w:r w:rsidRPr="00B91524">
        <w:t>The objective of this monitoring is to identify any INNS in the wind farm site and any effects on the wider community type/structure as a result of wind farm development, to identify changes that may affect site integrity.</w:t>
      </w:r>
    </w:p>
    <w:p w14:paraId="5C4E26A3" w14:textId="21F491F9" w:rsidR="00BD4AA3" w:rsidRPr="00B91524" w:rsidRDefault="003143A2" w:rsidP="007908D8">
      <w:pPr>
        <w:pStyle w:val="Reportbodytextnumbering"/>
      </w:pPr>
      <w:r w:rsidRPr="00B91524">
        <w:t xml:space="preserve">Monitoring for INNS relates to the post-construction period only. </w:t>
      </w:r>
      <w:r w:rsidR="00BD4AA3" w:rsidRPr="00B91524">
        <w:t xml:space="preserve">Prior to any survey works, a comprehensive review of all available literature and data on INNS in the Dogger Bank region will be undertaken including information available from the </w:t>
      </w:r>
      <w:proofErr w:type="spellStart"/>
      <w:r w:rsidR="00BD4AA3" w:rsidRPr="00B91524">
        <w:t>characterisation</w:t>
      </w:r>
      <w:proofErr w:type="spellEnd"/>
      <w:r w:rsidR="00BD4AA3" w:rsidRPr="00B91524">
        <w:t xml:space="preserve"> surveys that informed the ES, long term monitoring </w:t>
      </w:r>
      <w:r w:rsidR="00106987" w:rsidRPr="00B91524">
        <w:t>data collected</w:t>
      </w:r>
      <w:r w:rsidR="00BD4AA3" w:rsidRPr="00B91524">
        <w:t xml:space="preserve"> by SRI, statutory monitoring of the Dogger Bank SAC undertaken by JNCC and any other relevant surveys undertaken in the region (see Appendix </w:t>
      </w:r>
      <w:r w:rsidR="000502CC" w:rsidRPr="00B91524">
        <w:t>B</w:t>
      </w:r>
      <w:r w:rsidR="00BD4AA3" w:rsidRPr="00B91524">
        <w:t>).</w:t>
      </w:r>
    </w:p>
    <w:p w14:paraId="3D2D1BB9" w14:textId="02F9D46F" w:rsidR="00BD4AA3" w:rsidRPr="00B91524" w:rsidRDefault="006371C6" w:rsidP="007908D8">
      <w:pPr>
        <w:pStyle w:val="Reportbodytextnumbering"/>
      </w:pPr>
      <w:proofErr w:type="spellStart"/>
      <w:r w:rsidRPr="00B91524">
        <w:t>Infaunal</w:t>
      </w:r>
      <w:proofErr w:type="spellEnd"/>
      <w:r w:rsidRPr="00B91524">
        <w:t xml:space="preserve">, sessile and motile </w:t>
      </w:r>
      <w:proofErr w:type="spellStart"/>
      <w:r w:rsidRPr="00B91524">
        <w:t>epibiotia</w:t>
      </w:r>
      <w:proofErr w:type="spellEnd"/>
      <w:r w:rsidRPr="00B91524">
        <w:t xml:space="preserve"> (including demersal fish) </w:t>
      </w:r>
      <w:r w:rsidR="009F6B94" w:rsidRPr="00B91524">
        <w:t xml:space="preserve">data </w:t>
      </w:r>
      <w:r w:rsidR="00BD4AA3" w:rsidRPr="00B91524">
        <w:t xml:space="preserve">collected as part of the </w:t>
      </w:r>
      <w:r w:rsidR="00106987" w:rsidRPr="00B91524">
        <w:t>sediment</w:t>
      </w:r>
      <w:r w:rsidR="00BD4AA3" w:rsidRPr="00B91524">
        <w:t xml:space="preserve"> </w:t>
      </w:r>
      <w:r w:rsidR="00106987" w:rsidRPr="00B91524">
        <w:t xml:space="preserve">and reef </w:t>
      </w:r>
      <w:r w:rsidR="00BD4AA3" w:rsidRPr="00B91524">
        <w:t>monitoring set out in Section</w:t>
      </w:r>
      <w:r w:rsidR="00C916A1" w:rsidRPr="00B91524">
        <w:t>s</w:t>
      </w:r>
      <w:r w:rsidR="00BD4AA3" w:rsidRPr="00B91524">
        <w:t xml:space="preserve"> </w:t>
      </w:r>
      <w:r w:rsidR="00C56A55" w:rsidRPr="00B91524">
        <w:fldChar w:fldCharType="begin"/>
      </w:r>
      <w:r w:rsidR="00C56A55" w:rsidRPr="00B91524">
        <w:instrText xml:space="preserve"> REF _Ref46089718 \r \h  \* MERGEFORMAT </w:instrText>
      </w:r>
      <w:r w:rsidR="00C56A55" w:rsidRPr="00B91524">
        <w:fldChar w:fldCharType="separate"/>
      </w:r>
      <w:r w:rsidR="00683595">
        <w:t>4.2</w:t>
      </w:r>
      <w:r w:rsidR="00C56A55" w:rsidRPr="00B91524">
        <w:fldChar w:fldCharType="end"/>
      </w:r>
      <w:r w:rsidR="00BD4AA3" w:rsidRPr="00B91524">
        <w:t xml:space="preserve"> </w:t>
      </w:r>
      <w:r w:rsidR="00106987" w:rsidRPr="00B91524">
        <w:t xml:space="preserve">and </w:t>
      </w:r>
      <w:r w:rsidR="00C56A55" w:rsidRPr="00B91524">
        <w:fldChar w:fldCharType="begin"/>
      </w:r>
      <w:r w:rsidR="00C56A55" w:rsidRPr="00B91524">
        <w:instrText xml:space="preserve"> REF _Ref46089824 \r \h  \* MERGEFORMAT </w:instrText>
      </w:r>
      <w:r w:rsidR="00C56A55" w:rsidRPr="00B91524">
        <w:fldChar w:fldCharType="separate"/>
      </w:r>
      <w:r w:rsidR="00683595">
        <w:t>4.3</w:t>
      </w:r>
      <w:r w:rsidR="00C56A55" w:rsidRPr="00B91524">
        <w:fldChar w:fldCharType="end"/>
      </w:r>
      <w:r w:rsidR="004C0186" w:rsidRPr="00B91524">
        <w:t xml:space="preserve"> </w:t>
      </w:r>
      <w:r w:rsidR="00106987" w:rsidRPr="00B91524">
        <w:t xml:space="preserve">respectively will also be reviewed </w:t>
      </w:r>
      <w:r w:rsidR="00BD4AA3" w:rsidRPr="00B91524">
        <w:t xml:space="preserve">to </w:t>
      </w:r>
      <w:r w:rsidRPr="00B91524">
        <w:t xml:space="preserve">establish if </w:t>
      </w:r>
      <w:r w:rsidR="00BD4AA3" w:rsidRPr="00B91524">
        <w:t xml:space="preserve">any INNS </w:t>
      </w:r>
      <w:r w:rsidRPr="00B91524">
        <w:t>are identified during the</w:t>
      </w:r>
      <w:r w:rsidR="00BD4AA3" w:rsidRPr="00B91524">
        <w:t xml:space="preserve"> pre</w:t>
      </w:r>
      <w:r w:rsidR="00106987" w:rsidRPr="00B91524">
        <w:t>-</w:t>
      </w:r>
      <w:r w:rsidR="00BD4AA3" w:rsidRPr="00B91524">
        <w:t>construction stages. This will include consideration of the outputs of the geophysical surveys with respect to wider community type/structure, in line with the MMO (2014</w:t>
      </w:r>
      <w:r w:rsidR="001B618A" w:rsidRPr="00B91524">
        <w:t xml:space="preserve">a, 2014b) </w:t>
      </w:r>
      <w:r w:rsidR="00BD4AA3" w:rsidRPr="00B91524">
        <w:t>focus on the establishment of mature epibenthic communities on foundations and scour protection within the context of studies of the wider operational area.</w:t>
      </w:r>
    </w:p>
    <w:p w14:paraId="08F7BAC8" w14:textId="3B465017" w:rsidR="009F6B94" w:rsidRPr="00B91524" w:rsidRDefault="006371C6" w:rsidP="009F6B94">
      <w:pPr>
        <w:pStyle w:val="Reportbodytextnumbering"/>
      </w:pPr>
      <w:r w:rsidRPr="00B91524">
        <w:t xml:space="preserve">To supplement the data to be collected during the sediment and reef post-construction monitoring data, </w:t>
      </w:r>
      <w:r w:rsidR="00871282" w:rsidRPr="00294036">
        <w:rPr>
          <w:highlight w:val="yellow"/>
        </w:rPr>
        <w:t>all</w:t>
      </w:r>
      <w:r w:rsidR="00BD4AA3" w:rsidRPr="00B91524">
        <w:t xml:space="preserve"> foundation structures</w:t>
      </w:r>
      <w:r w:rsidR="003143A2" w:rsidRPr="00B91524">
        <w:t xml:space="preserve"> (including the OCP jacket)</w:t>
      </w:r>
      <w:r w:rsidRPr="00B91524">
        <w:t>,</w:t>
      </w:r>
      <w:r w:rsidR="00BD4AA3" w:rsidRPr="00B91524">
        <w:t xml:space="preserve"> scour protection</w:t>
      </w:r>
      <w:r w:rsidRPr="00B91524">
        <w:t xml:space="preserve"> and export cable/inter-array protection </w:t>
      </w:r>
      <w:r w:rsidR="00DA2072" w:rsidRPr="00B91524">
        <w:t xml:space="preserve">will also be </w:t>
      </w:r>
      <w:r w:rsidRPr="00B91524">
        <w:t xml:space="preserve">surveyed </w:t>
      </w:r>
      <w:r w:rsidR="00BD4AA3" w:rsidRPr="00B91524">
        <w:t xml:space="preserve">to investigate the degree of </w:t>
      </w:r>
      <w:proofErr w:type="spellStart"/>
      <w:r w:rsidR="00BD4AA3" w:rsidRPr="00B91524">
        <w:t>colonisation</w:t>
      </w:r>
      <w:proofErr w:type="spellEnd"/>
      <w:r w:rsidR="00DA2072" w:rsidRPr="00B91524">
        <w:t xml:space="preserve"> and epibenthic community composition with a focus on confirming the presence/absence of any INNS.</w:t>
      </w:r>
      <w:r w:rsidR="00BD4AA3" w:rsidRPr="00B91524">
        <w:t xml:space="preserve"> </w:t>
      </w:r>
      <w:r w:rsidR="00871282" w:rsidRPr="00294036">
        <w:rPr>
          <w:highlight w:val="yellow"/>
        </w:rPr>
        <w:t>Note that</w:t>
      </w:r>
      <w:r w:rsidR="006617ED" w:rsidRPr="00294036">
        <w:rPr>
          <w:highlight w:val="yellow"/>
        </w:rPr>
        <w:t xml:space="preserve"> </w:t>
      </w:r>
      <w:r w:rsidR="00871282" w:rsidRPr="00294036">
        <w:rPr>
          <w:highlight w:val="yellow"/>
        </w:rPr>
        <w:t>only</w:t>
      </w:r>
      <w:r w:rsidR="00871282">
        <w:t xml:space="preserve"> </w:t>
      </w:r>
      <w:r w:rsidR="006617ED" w:rsidRPr="00B91524">
        <w:t xml:space="preserve">export cable </w:t>
      </w:r>
      <w:r w:rsidR="00871282" w:rsidRPr="00294036">
        <w:rPr>
          <w:highlight w:val="yellow"/>
        </w:rPr>
        <w:t>and</w:t>
      </w:r>
      <w:r w:rsidR="00871282" w:rsidRPr="00B91524">
        <w:t xml:space="preserve"> </w:t>
      </w:r>
      <w:r w:rsidR="006617ED" w:rsidRPr="00B91524">
        <w:t xml:space="preserve">inter-array cable locations within the Dogger Bank SAC </w:t>
      </w:r>
      <w:r w:rsidR="00871282" w:rsidRPr="00294036">
        <w:rPr>
          <w:highlight w:val="yellow"/>
        </w:rPr>
        <w:t>will be monitored if</w:t>
      </w:r>
      <w:r w:rsidR="004C415E" w:rsidRPr="00B91524">
        <w:t xml:space="preserve"> protection is installed)</w:t>
      </w:r>
      <w:r w:rsidR="006617ED" w:rsidRPr="00B91524">
        <w:t>. At each location</w:t>
      </w:r>
      <w:r w:rsidR="000026F1" w:rsidRPr="00B91524">
        <w:t>,</w:t>
      </w:r>
      <w:r w:rsidR="006617ED" w:rsidRPr="00B91524">
        <w:t xml:space="preserve"> underwater imagery of the structure will be collected from the surface down to the seabed. This will include extension of the data collection out across the scour protection at</w:t>
      </w:r>
      <w:r w:rsidR="000026F1" w:rsidRPr="00B91524">
        <w:t xml:space="preserve"> each location and out across the sediment substrate at the OCP </w:t>
      </w:r>
      <w:r w:rsidR="004C415E" w:rsidRPr="00B91524">
        <w:t>foundations</w:t>
      </w:r>
      <w:r w:rsidR="000026F1" w:rsidRPr="00B91524">
        <w:t xml:space="preserve"> where </w:t>
      </w:r>
      <w:r w:rsidR="004C415E" w:rsidRPr="00B91524">
        <w:t xml:space="preserve">it is currently proposed that </w:t>
      </w:r>
      <w:r w:rsidR="000026F1" w:rsidRPr="00B91524">
        <w:t>no scour protection will be installed</w:t>
      </w:r>
      <w:r w:rsidR="006617ED" w:rsidRPr="00B91524">
        <w:t xml:space="preserve">. </w:t>
      </w:r>
      <w:r w:rsidR="009F6B94" w:rsidRPr="00B91524">
        <w:t xml:space="preserve">The data collected will undergo detailed analysis including the identification and enumeration of all epibiota observed </w:t>
      </w:r>
      <w:r w:rsidR="000858DC" w:rsidRPr="00B91524">
        <w:t>on the structures</w:t>
      </w:r>
      <w:r w:rsidR="009F6B94" w:rsidRPr="00B91524">
        <w:t xml:space="preserve"> (i.e. not just limited to IN</w:t>
      </w:r>
      <w:r w:rsidR="002906F1" w:rsidRPr="00B91524">
        <w:t>N</w:t>
      </w:r>
      <w:r w:rsidR="009F6B94" w:rsidRPr="00B91524">
        <w:t xml:space="preserve">S). </w:t>
      </w:r>
      <w:r w:rsidR="000858DC" w:rsidRPr="00B91524">
        <w:t>Photogrammetry techniques will also be used to estimate epibiotic biomass on each structure</w:t>
      </w:r>
      <w:r w:rsidR="005A2086" w:rsidRPr="00B91524">
        <w:t xml:space="preserve"> and /</w:t>
      </w:r>
      <w:r w:rsidR="009D6FD5" w:rsidRPr="00B91524">
        <w:t xml:space="preserve"> </w:t>
      </w:r>
      <w:r w:rsidR="005A2086" w:rsidRPr="00B91524">
        <w:t>or associated scour protection</w:t>
      </w:r>
      <w:r w:rsidR="000858DC" w:rsidRPr="00B91524">
        <w:t xml:space="preserve">. </w:t>
      </w:r>
      <w:r w:rsidR="009F6B94" w:rsidRPr="00B91524">
        <w:t xml:space="preserve">This will allow for suitable statistical analysis </w:t>
      </w:r>
      <w:r w:rsidR="000858DC" w:rsidRPr="00B91524">
        <w:t xml:space="preserve">to be undertaken </w:t>
      </w:r>
      <w:r w:rsidR="002906F1" w:rsidRPr="00B91524">
        <w:t xml:space="preserve">on both abundance </w:t>
      </w:r>
      <w:r w:rsidR="009D6FD5" w:rsidRPr="00B91524">
        <w:t xml:space="preserve">data </w:t>
      </w:r>
      <w:r w:rsidR="002906F1" w:rsidRPr="00B91524">
        <w:t xml:space="preserve">and biomass </w:t>
      </w:r>
      <w:r w:rsidR="009D6FD5" w:rsidRPr="00B91524">
        <w:t>estimates</w:t>
      </w:r>
      <w:r w:rsidR="002906F1" w:rsidRPr="00B91524">
        <w:t xml:space="preserve"> </w:t>
      </w:r>
      <w:r w:rsidR="000858DC" w:rsidRPr="00B91524">
        <w:t xml:space="preserve">between monitoring periods </w:t>
      </w:r>
      <w:r w:rsidR="002906F1" w:rsidRPr="00B91524">
        <w:t xml:space="preserve">which will also be considered when assessing for potential impacts of colonization of hard substrates by INNS on the surrounding and wider sedimentary benthic communities,  </w:t>
      </w:r>
    </w:p>
    <w:p w14:paraId="600F8DB1" w14:textId="0A8F49CD" w:rsidR="009D6FD5" w:rsidRPr="00B91524" w:rsidRDefault="009F6B94">
      <w:pPr>
        <w:pStyle w:val="Reportbodytextnumbering"/>
      </w:pPr>
      <w:r w:rsidRPr="00B91524">
        <w:lastRenderedPageBreak/>
        <w:t xml:space="preserve">It should be noted that </w:t>
      </w:r>
      <w:r w:rsidR="002906F1" w:rsidRPr="00B91524">
        <w:t xml:space="preserve">all </w:t>
      </w:r>
      <w:proofErr w:type="spellStart"/>
      <w:r w:rsidR="002906F1" w:rsidRPr="00B91524">
        <w:t>i</w:t>
      </w:r>
      <w:r w:rsidRPr="00B91524">
        <w:t>nfaunal</w:t>
      </w:r>
      <w:proofErr w:type="spellEnd"/>
      <w:r w:rsidRPr="00B91524">
        <w:t xml:space="preserve">, sessile and motile </w:t>
      </w:r>
      <w:proofErr w:type="spellStart"/>
      <w:r w:rsidRPr="00B91524">
        <w:t>epibiotia</w:t>
      </w:r>
      <w:proofErr w:type="spellEnd"/>
      <w:r w:rsidRPr="00B91524">
        <w:t xml:space="preserve"> (including demersal fish) data collected as part of the sediment</w:t>
      </w:r>
      <w:r w:rsidR="002906F1" w:rsidRPr="00B91524">
        <w:t xml:space="preserve">, </w:t>
      </w:r>
      <w:r w:rsidRPr="00B91524">
        <w:t xml:space="preserve">reef </w:t>
      </w:r>
      <w:r w:rsidR="002906F1" w:rsidRPr="00B91524">
        <w:t xml:space="preserve">and INNS </w:t>
      </w:r>
      <w:r w:rsidRPr="00B91524">
        <w:t xml:space="preserve">monitoring set out in </w:t>
      </w:r>
      <w:r w:rsidR="005833A1" w:rsidRPr="00B91524">
        <w:t>s</w:t>
      </w:r>
      <w:r w:rsidRPr="00B91524">
        <w:t>ections 4.2</w:t>
      </w:r>
      <w:r w:rsidR="002906F1" w:rsidRPr="00B91524">
        <w:t xml:space="preserve">, </w:t>
      </w:r>
      <w:r w:rsidRPr="00B91524">
        <w:t xml:space="preserve">4.3 </w:t>
      </w:r>
      <w:r w:rsidR="002906F1" w:rsidRPr="00B91524">
        <w:t xml:space="preserve">and 4.4.4 </w:t>
      </w:r>
      <w:r w:rsidRPr="00B91524">
        <w:t xml:space="preserve">will </w:t>
      </w:r>
      <w:r w:rsidR="002906F1" w:rsidRPr="00B91524">
        <w:t xml:space="preserve">not only </w:t>
      </w:r>
      <w:r w:rsidRPr="00B91524">
        <w:t xml:space="preserve">be reviewed to establish </w:t>
      </w:r>
      <w:r w:rsidR="002906F1" w:rsidRPr="00B91524">
        <w:t>the presence/absence of</w:t>
      </w:r>
      <w:r w:rsidRPr="00B91524">
        <w:t xml:space="preserve"> INNS </w:t>
      </w:r>
      <w:r w:rsidR="002906F1" w:rsidRPr="00B91524">
        <w:t xml:space="preserve">but will also undergo detailed analysis to identify all taxa present (i.e. </w:t>
      </w:r>
      <w:r w:rsidR="006054CF" w:rsidRPr="00B91524">
        <w:t>including indigenous species</w:t>
      </w:r>
      <w:r w:rsidR="002906F1" w:rsidRPr="00B91524">
        <w:t xml:space="preserve">). These datasets will undergo </w:t>
      </w:r>
      <w:r w:rsidR="006054CF" w:rsidRPr="00B91524">
        <w:t>suitable</w:t>
      </w:r>
      <w:r w:rsidR="002906F1" w:rsidRPr="00B91524">
        <w:t xml:space="preserve"> stati</w:t>
      </w:r>
      <w:r w:rsidR="006054CF" w:rsidRPr="00B91524">
        <w:t xml:space="preserve">stical analysis to test for potential </w:t>
      </w:r>
      <w:r w:rsidR="009D6FD5" w:rsidRPr="00B91524">
        <w:t>impacts on</w:t>
      </w:r>
      <w:r w:rsidR="006054CF" w:rsidRPr="00B91524">
        <w:t xml:space="preserve"> the composition of communities associated with the Dogger Bank SAC sandbank feature. This will include investigation of near and far field impacts and comparison to corresponding data from control stations. </w:t>
      </w:r>
    </w:p>
    <w:p w14:paraId="087B0B11" w14:textId="6968354C" w:rsidR="00C83FEB" w:rsidRPr="00B91524" w:rsidRDefault="00C83FEB">
      <w:pPr>
        <w:pStyle w:val="Heading2"/>
      </w:pPr>
      <w:bookmarkStart w:id="107" w:name="_Toc74670342"/>
      <w:r w:rsidRPr="00B91524">
        <w:t>Monitoring Schedule</w:t>
      </w:r>
      <w:bookmarkEnd w:id="107"/>
      <w:r w:rsidRPr="00B91524">
        <w:t xml:space="preserve"> </w:t>
      </w:r>
    </w:p>
    <w:p w14:paraId="074E8D0F" w14:textId="17317D36" w:rsidR="00454C16" w:rsidRPr="00B91524" w:rsidRDefault="006617ED" w:rsidP="006617ED">
      <w:pPr>
        <w:pStyle w:val="Reportbodytextnumbering"/>
      </w:pPr>
      <w:r w:rsidRPr="00B91524">
        <w:t>It is proposed that the pre-construction sediment (</w:t>
      </w:r>
      <w:proofErr w:type="spellStart"/>
      <w:r w:rsidRPr="00B91524">
        <w:t>FoF</w:t>
      </w:r>
      <w:proofErr w:type="spellEnd"/>
      <w:r w:rsidRPr="00B91524">
        <w:t xml:space="preserve"> I) and reef (</w:t>
      </w:r>
      <w:proofErr w:type="spellStart"/>
      <w:r w:rsidRPr="00B91524">
        <w:t>FoF</w:t>
      </w:r>
      <w:proofErr w:type="spellEnd"/>
      <w:r w:rsidRPr="00B91524">
        <w:t xml:space="preserve"> II) sampling is undertaken simultaneously in 2021 with the full results submitted to the MMO approximately 6 months post completion of the surveys. </w:t>
      </w:r>
      <w:r w:rsidR="003357E8" w:rsidRPr="00B91524">
        <w:t xml:space="preserve">Due to UXO clearance activities planned for Q2 2021 </w:t>
      </w:r>
      <w:r w:rsidR="00E74F05" w:rsidRPr="00B91524">
        <w:t xml:space="preserve">in the nearshore area (out to KP10), </w:t>
      </w:r>
      <w:r w:rsidR="003357E8" w:rsidRPr="00B91524">
        <w:t xml:space="preserve">it is proposed that the pre-construction survey </w:t>
      </w:r>
      <w:proofErr w:type="spellStart"/>
      <w:r w:rsidR="003357E8" w:rsidRPr="00B91524">
        <w:t>programme</w:t>
      </w:r>
      <w:proofErr w:type="spellEnd"/>
      <w:r w:rsidR="003357E8" w:rsidRPr="00B91524">
        <w:t xml:space="preserve"> is undertaken during</w:t>
      </w:r>
      <w:r w:rsidR="00E74F05" w:rsidRPr="00B91524">
        <w:t xml:space="preserve"> separate nearshore and offshore phases in Q1/Q2 2021 and Q2/Q3 2021 respectively. </w:t>
      </w:r>
      <w:r w:rsidR="00CB2201" w:rsidRPr="00B91524">
        <w:t xml:space="preserve">The SRI long-term monitoring and REWIND </w:t>
      </w:r>
      <w:r w:rsidR="00E14F57" w:rsidRPr="00B91524">
        <w:t xml:space="preserve">sampling </w:t>
      </w:r>
      <w:r w:rsidR="0045193A" w:rsidRPr="00B91524">
        <w:t xml:space="preserve">will be undertaken </w:t>
      </w:r>
      <w:r w:rsidR="00E14F57" w:rsidRPr="00B91524">
        <w:t xml:space="preserve">during two separate research cruises </w:t>
      </w:r>
      <w:r w:rsidR="0045193A" w:rsidRPr="00B91524">
        <w:t xml:space="preserve">in </w:t>
      </w:r>
      <w:r w:rsidR="00E14F57" w:rsidRPr="00B91524">
        <w:t>July/August 2021.</w:t>
      </w:r>
      <w:r w:rsidR="003357E8" w:rsidRPr="00B91524">
        <w:t xml:space="preserve"> </w:t>
      </w:r>
    </w:p>
    <w:p w14:paraId="7D49E801" w14:textId="170A759C" w:rsidR="006617ED" w:rsidRPr="00B91524" w:rsidRDefault="006617ED" w:rsidP="006617ED">
      <w:pPr>
        <w:pStyle w:val="Reportbodytextnumbering"/>
      </w:pPr>
      <w:r w:rsidRPr="00B91524">
        <w:t>Post-construction surveys (including the targeted INNS survey (</w:t>
      </w:r>
      <w:proofErr w:type="spellStart"/>
      <w:r w:rsidRPr="00B91524">
        <w:t>FoF</w:t>
      </w:r>
      <w:proofErr w:type="spellEnd"/>
      <w:r w:rsidRPr="00B91524">
        <w:t xml:space="preserve"> III)) will be undertaken approximately 1-year post commissioning to allow sufficient time for initial </w:t>
      </w:r>
      <w:proofErr w:type="spellStart"/>
      <w:r w:rsidRPr="00B91524">
        <w:t>recolonisation</w:t>
      </w:r>
      <w:proofErr w:type="spellEnd"/>
      <w:r w:rsidRPr="00B91524">
        <w:t xml:space="preserve"> of habitats (anticipated to be 2026/27). This timeline for further survey has been proposed to allow equilibrium to be reached following construction and to tie in with operational bathymetrical monitoring that will be undertaken as part of the Geophysical (Bathymetrical) Monitoring Plan (SOWFL, 2019a). Further post-construction surveys for all </w:t>
      </w:r>
      <w:proofErr w:type="spellStart"/>
      <w:r w:rsidRPr="00B91524">
        <w:t>FoF</w:t>
      </w:r>
      <w:proofErr w:type="spellEnd"/>
      <w:r w:rsidRPr="00B91524">
        <w:t xml:space="preserve"> will be undertaken 3, 5 and 10 years post-co</w:t>
      </w:r>
      <w:r w:rsidR="004C415E" w:rsidRPr="00B91524">
        <w:t>mmissioning</w:t>
      </w:r>
      <w:r w:rsidRPr="00B91524">
        <w:t xml:space="preserve"> </w:t>
      </w:r>
      <w:r w:rsidR="004C415E" w:rsidRPr="00B91524">
        <w:t xml:space="preserve">as </w:t>
      </w:r>
      <w:r w:rsidRPr="00B91524">
        <w:t xml:space="preserve">well as prior to decommissioning (as part of studies required for the marine </w:t>
      </w:r>
      <w:proofErr w:type="spellStart"/>
      <w:r w:rsidRPr="00B91524">
        <w:t>licence</w:t>
      </w:r>
      <w:proofErr w:type="spellEnd"/>
      <w:r w:rsidRPr="00B91524">
        <w:t xml:space="preserve"> application to decommission the wind farm). A substantive review will be undertaken following completion of the year 5 monitoring survey that will consider all pre- and post-construction monitoring data in the context of the predictions made in the EIA and the benthic monitoring objectives for the Dogger Bank SAC set out by NE and JNCC (Appendix A). At this point, the requirement for further post-construction benthic monitoring for each </w:t>
      </w:r>
      <w:proofErr w:type="spellStart"/>
      <w:r w:rsidRPr="00B91524">
        <w:t>FoF</w:t>
      </w:r>
      <w:proofErr w:type="spellEnd"/>
      <w:r w:rsidRPr="00B91524">
        <w:t xml:space="preserve"> will be discussed with the MMO and its advisors.</w:t>
      </w:r>
    </w:p>
    <w:p w14:paraId="0934B475" w14:textId="4DEBC67C" w:rsidR="00186568" w:rsidRPr="00B91524" w:rsidRDefault="00186568" w:rsidP="006617ED">
      <w:pPr>
        <w:pStyle w:val="Reportbodytextnumbering"/>
      </w:pPr>
      <w:r w:rsidRPr="00B91524">
        <w:t xml:space="preserve">Should monitoring </w:t>
      </w:r>
      <w:r w:rsidR="0081373A" w:rsidRPr="00B91524">
        <w:t>continue until year 10</w:t>
      </w:r>
      <w:r w:rsidR="00173DBD" w:rsidRPr="00B91524">
        <w:t>,</w:t>
      </w:r>
      <w:r w:rsidR="0081373A" w:rsidRPr="00B91524">
        <w:t xml:space="preserve"> the final monitoring report will also include a thorough review of the need for future monitoring beyond                                                                                                                                                                                                                                                                                                                                                                                                                                                                                                                                                                           10 years. This will consider </w:t>
      </w:r>
      <w:r w:rsidR="00FF6159" w:rsidRPr="00B91524">
        <w:t xml:space="preserve">recovery of the SAC in </w:t>
      </w:r>
      <w:r w:rsidR="00860279" w:rsidRPr="00B91524">
        <w:t xml:space="preserve">areas affected by the project in </w:t>
      </w:r>
      <w:r w:rsidR="00FF6159" w:rsidRPr="00B91524">
        <w:t xml:space="preserve">the context of </w:t>
      </w:r>
      <w:r w:rsidR="00D807CD" w:rsidRPr="00B91524">
        <w:t>the monitoring objectives, the conclusions of the ES and HRA and in light of other external pressures (such as fishing) that will also be impacting the recovery of the SAC.</w:t>
      </w:r>
    </w:p>
    <w:p w14:paraId="0BB2C311" w14:textId="074854A4" w:rsidR="009541CC" w:rsidRPr="00B91524" w:rsidRDefault="009541CC" w:rsidP="009541CC">
      <w:pPr>
        <w:pStyle w:val="Heading2"/>
        <w:rPr>
          <w:rFonts w:eastAsia="Calibri"/>
          <w:noProof/>
          <w:lang w:eastAsia="en-GB"/>
        </w:rPr>
      </w:pPr>
      <w:bookmarkStart w:id="108" w:name="_Ref46089180"/>
      <w:bookmarkStart w:id="109" w:name="_Toc74670343"/>
      <w:r w:rsidRPr="00B91524">
        <w:rPr>
          <w:rFonts w:eastAsia="Calibri"/>
          <w:noProof/>
          <w:lang w:eastAsia="en-GB"/>
        </w:rPr>
        <w:t>Reporting</w:t>
      </w:r>
      <w:bookmarkEnd w:id="108"/>
      <w:bookmarkEnd w:id="109"/>
    </w:p>
    <w:p w14:paraId="17BA8BE3" w14:textId="6644EA9F" w:rsidR="00F652C9" w:rsidRPr="00B91524" w:rsidRDefault="00F652C9" w:rsidP="007908D8">
      <w:pPr>
        <w:pStyle w:val="Reportbodytextnumbering"/>
      </w:pPr>
      <w:r w:rsidRPr="00B91524">
        <w:t>Following completion of the pre-construction survey and associated analysis, a detailed benthic technical report will be prepared following the structure set out in</w:t>
      </w:r>
      <w:r w:rsidR="004C0186" w:rsidRPr="00B91524">
        <w:t xml:space="preserve"> </w:t>
      </w:r>
      <w:r w:rsidR="006B6B93" w:rsidRPr="00B91524">
        <w:fldChar w:fldCharType="begin"/>
      </w:r>
      <w:r w:rsidR="006B6B93" w:rsidRPr="00B91524">
        <w:instrText xml:space="preserve"> REF _Ref46089883 \h </w:instrText>
      </w:r>
      <w:r w:rsidR="00FC1861" w:rsidRPr="00B91524">
        <w:instrText xml:space="preserve"> \* MERGEFORMAT </w:instrText>
      </w:r>
      <w:r w:rsidR="006B6B93" w:rsidRPr="00B91524">
        <w:fldChar w:fldCharType="separate"/>
      </w:r>
      <w:r w:rsidR="00683595" w:rsidRPr="00B91524">
        <w:t xml:space="preserve">Table </w:t>
      </w:r>
      <w:r w:rsidR="00683595">
        <w:rPr>
          <w:noProof/>
        </w:rPr>
        <w:t>4</w:t>
      </w:r>
      <w:r w:rsidR="00683595" w:rsidRPr="00B91524">
        <w:rPr>
          <w:noProof/>
        </w:rPr>
        <w:noBreakHyphen/>
      </w:r>
      <w:r w:rsidR="00683595">
        <w:rPr>
          <w:noProof/>
        </w:rPr>
        <w:t>1</w:t>
      </w:r>
      <w:r w:rsidR="006B6B93" w:rsidRPr="00B91524">
        <w:fldChar w:fldCharType="end"/>
      </w:r>
      <w:r w:rsidRPr="00B91524">
        <w:t xml:space="preserve">. This report will clearly set out the baseline conditions against which any post construction survey data will be compared (if required). The requirements for post construction monitoring will be presented in the pre-construction report.  The </w:t>
      </w:r>
      <w:r w:rsidR="00117B8F" w:rsidRPr="00B91524">
        <w:t>pre</w:t>
      </w:r>
      <w:r w:rsidR="00FC1861" w:rsidRPr="00B91524">
        <w:t>-</w:t>
      </w:r>
      <w:r w:rsidR="00117B8F" w:rsidRPr="00B91524">
        <w:t xml:space="preserve">construction </w:t>
      </w:r>
      <w:r w:rsidRPr="00B91524">
        <w:t xml:space="preserve">report will be submitted to the MMO </w:t>
      </w:r>
      <w:r w:rsidR="00117B8F" w:rsidRPr="00B91524">
        <w:t>within</w:t>
      </w:r>
      <w:r w:rsidRPr="00B91524">
        <w:t xml:space="preserve"> 6 months</w:t>
      </w:r>
      <w:r w:rsidR="00117B8F" w:rsidRPr="00B91524">
        <w:t xml:space="preserve"> of</w:t>
      </w:r>
      <w:r w:rsidRPr="00B91524">
        <w:t xml:space="preserve"> completion of the survey.</w:t>
      </w:r>
    </w:p>
    <w:p w14:paraId="4D4D6265" w14:textId="27AAF5A3" w:rsidR="00117B8F" w:rsidRPr="00B91524" w:rsidRDefault="00117B8F" w:rsidP="007908D8">
      <w:pPr>
        <w:pStyle w:val="Reportbodytextnumbering"/>
      </w:pPr>
      <w:r w:rsidRPr="00B91524">
        <w:lastRenderedPageBreak/>
        <w:t>Any post</w:t>
      </w:r>
      <w:r w:rsidR="00FC1861" w:rsidRPr="00B91524">
        <w:t>-</w:t>
      </w:r>
      <w:r w:rsidRPr="00B91524">
        <w:t xml:space="preserve">construction reporting required will follow a similar format and include an assessment of the effects of the project on the </w:t>
      </w:r>
      <w:proofErr w:type="spellStart"/>
      <w:r w:rsidR="00FC1861" w:rsidRPr="00B91524">
        <w:t>FoF</w:t>
      </w:r>
      <w:proofErr w:type="spellEnd"/>
      <w:r w:rsidR="00FC1861" w:rsidRPr="00B91524">
        <w:t xml:space="preserve"> and will identify any </w:t>
      </w:r>
      <w:r w:rsidRPr="00B91524">
        <w:t>requirements for ongoing monitoring. The post</w:t>
      </w:r>
      <w:r w:rsidR="00FC1861" w:rsidRPr="00B91524">
        <w:t>-</w:t>
      </w:r>
      <w:r w:rsidRPr="00B91524">
        <w:t>construction reports will also be submitted to the MMO within 6 months of completion of the surveys.</w:t>
      </w:r>
    </w:p>
    <w:p w14:paraId="6A954314" w14:textId="429335AD" w:rsidR="00F652C9" w:rsidRPr="00B91524" w:rsidRDefault="00F652C9" w:rsidP="00F652C9">
      <w:pPr>
        <w:pStyle w:val="Caption"/>
        <w:rPr>
          <w:rFonts w:eastAsiaTheme="minorHAnsi"/>
        </w:rPr>
      </w:pPr>
      <w:bookmarkStart w:id="110" w:name="_Ref46089883"/>
      <w:bookmarkStart w:id="111" w:name="_Toc61597205"/>
      <w:r w:rsidRPr="00B91524">
        <w:t xml:space="preserve">Table </w:t>
      </w:r>
      <w:r w:rsidR="00683595">
        <w:fldChar w:fldCharType="begin"/>
      </w:r>
      <w:r w:rsidR="00683595">
        <w:instrText xml:space="preserve"> STYLEREF 1 \s </w:instrText>
      </w:r>
      <w:r w:rsidR="00683595">
        <w:fldChar w:fldCharType="separate"/>
      </w:r>
      <w:r w:rsidR="00683595">
        <w:rPr>
          <w:noProof/>
        </w:rPr>
        <w:t>4</w:t>
      </w:r>
      <w:r w:rsidR="00683595">
        <w:rPr>
          <w:noProof/>
        </w:rPr>
        <w:fldChar w:fldCharType="end"/>
      </w:r>
      <w:r w:rsidR="00C82285" w:rsidRPr="00B91524">
        <w:noBreakHyphen/>
      </w:r>
      <w:r w:rsidR="00683595">
        <w:fldChar w:fldCharType="begin"/>
      </w:r>
      <w:r w:rsidR="00683595">
        <w:instrText xml:space="preserve"> SEQ Table \* ARABIC \s 1 </w:instrText>
      </w:r>
      <w:r w:rsidR="00683595">
        <w:fldChar w:fldCharType="separate"/>
      </w:r>
      <w:r w:rsidR="00683595">
        <w:rPr>
          <w:noProof/>
        </w:rPr>
        <w:t>1</w:t>
      </w:r>
      <w:r w:rsidR="00683595">
        <w:rPr>
          <w:noProof/>
        </w:rPr>
        <w:fldChar w:fldCharType="end"/>
      </w:r>
      <w:bookmarkEnd w:id="110"/>
      <w:r w:rsidRPr="00B91524">
        <w:t xml:space="preserve"> Outline of pre-construction benthic baseline reporting structure.</w:t>
      </w:r>
      <w:bookmarkEnd w:id="111"/>
    </w:p>
    <w:tbl>
      <w:tblPr>
        <w:tblW w:w="4974" w:type="pct"/>
        <w:tblLook w:val="04A0" w:firstRow="1" w:lastRow="0" w:firstColumn="1" w:lastColumn="0" w:noHBand="0" w:noVBand="1"/>
      </w:tblPr>
      <w:tblGrid>
        <w:gridCol w:w="3410"/>
        <w:gridCol w:w="5549"/>
      </w:tblGrid>
      <w:tr w:rsidR="00F652C9" w:rsidRPr="00B91524" w14:paraId="5DA49D39" w14:textId="77777777" w:rsidTr="001F7ECA">
        <w:trPr>
          <w:trHeight w:val="443"/>
        </w:trPr>
        <w:tc>
          <w:tcPr>
            <w:tcW w:w="1903" w:type="pct"/>
            <w:tcBorders>
              <w:top w:val="single" w:sz="8" w:space="0" w:color="auto"/>
              <w:left w:val="single" w:sz="8" w:space="0" w:color="auto"/>
              <w:bottom w:val="single" w:sz="4" w:space="0" w:color="auto"/>
              <w:right w:val="single" w:sz="8" w:space="0" w:color="auto"/>
            </w:tcBorders>
            <w:shd w:val="clear" w:color="000000" w:fill="1D4477"/>
            <w:vAlign w:val="center"/>
            <w:hideMark/>
          </w:tcPr>
          <w:p w14:paraId="75817F6A" w14:textId="77777777" w:rsidR="00F652C9" w:rsidRPr="00B91524" w:rsidRDefault="00F652C9" w:rsidP="00F652C9">
            <w:pPr>
              <w:spacing w:after="0"/>
              <w:jc w:val="center"/>
              <w:rPr>
                <w:rFonts w:cs="Arial"/>
                <w:b/>
                <w:bCs/>
                <w:color w:val="FFFFFF"/>
                <w:sz w:val="18"/>
                <w:szCs w:val="18"/>
                <w:lang w:eastAsia="en-GB"/>
              </w:rPr>
            </w:pPr>
            <w:r w:rsidRPr="00B91524">
              <w:rPr>
                <w:rFonts w:cs="Arial"/>
                <w:b/>
                <w:bCs/>
                <w:color w:val="FFFFFF"/>
                <w:sz w:val="18"/>
                <w:szCs w:val="18"/>
                <w:lang w:eastAsia="en-GB"/>
              </w:rPr>
              <w:t>Section</w:t>
            </w:r>
          </w:p>
        </w:tc>
        <w:tc>
          <w:tcPr>
            <w:tcW w:w="3097" w:type="pct"/>
            <w:tcBorders>
              <w:top w:val="single" w:sz="8" w:space="0" w:color="auto"/>
              <w:left w:val="nil"/>
              <w:bottom w:val="single" w:sz="4" w:space="0" w:color="auto"/>
              <w:right w:val="single" w:sz="8" w:space="0" w:color="auto"/>
            </w:tcBorders>
            <w:shd w:val="clear" w:color="000000" w:fill="1D4477"/>
            <w:vAlign w:val="center"/>
            <w:hideMark/>
          </w:tcPr>
          <w:p w14:paraId="04020C75" w14:textId="77777777" w:rsidR="00F652C9" w:rsidRPr="00B91524" w:rsidRDefault="00F652C9" w:rsidP="00F652C9">
            <w:pPr>
              <w:spacing w:after="0"/>
              <w:jc w:val="center"/>
              <w:rPr>
                <w:rFonts w:cs="Arial"/>
                <w:b/>
                <w:bCs/>
                <w:color w:val="FFFFFF"/>
                <w:sz w:val="18"/>
                <w:szCs w:val="18"/>
                <w:lang w:eastAsia="en-GB"/>
              </w:rPr>
            </w:pPr>
            <w:r w:rsidRPr="00B91524">
              <w:rPr>
                <w:rFonts w:cs="Arial"/>
                <w:b/>
                <w:bCs/>
                <w:color w:val="FFFFFF"/>
                <w:sz w:val="18"/>
                <w:szCs w:val="18"/>
                <w:lang w:eastAsia="en-GB"/>
              </w:rPr>
              <w:t>Description</w:t>
            </w:r>
          </w:p>
        </w:tc>
      </w:tr>
      <w:tr w:rsidR="001F7ECA" w:rsidRPr="00B91524" w14:paraId="2FDF39B3" w14:textId="77777777" w:rsidTr="001F7ECA">
        <w:trPr>
          <w:trHeight w:val="969"/>
        </w:trPr>
        <w:tc>
          <w:tcPr>
            <w:tcW w:w="1903" w:type="pct"/>
            <w:tcBorders>
              <w:top w:val="single" w:sz="4" w:space="0" w:color="auto"/>
              <w:left w:val="single" w:sz="4" w:space="0" w:color="auto"/>
              <w:bottom w:val="single" w:sz="4" w:space="0" w:color="auto"/>
              <w:right w:val="single" w:sz="4" w:space="0" w:color="auto"/>
            </w:tcBorders>
            <w:shd w:val="clear" w:color="000000" w:fill="C4D7F0"/>
            <w:vAlign w:val="center"/>
            <w:hideMark/>
          </w:tcPr>
          <w:p w14:paraId="0F3080CE" w14:textId="77777777" w:rsidR="001F7ECA" w:rsidRPr="00B91524" w:rsidRDefault="001F7ECA" w:rsidP="00F652C9">
            <w:pPr>
              <w:spacing w:after="0"/>
              <w:rPr>
                <w:rFonts w:cs="Arial"/>
                <w:color w:val="000000"/>
                <w:sz w:val="18"/>
                <w:szCs w:val="18"/>
                <w:lang w:eastAsia="en-GB"/>
              </w:rPr>
            </w:pPr>
            <w:r w:rsidRPr="00B91524">
              <w:rPr>
                <w:rFonts w:cs="Arial"/>
                <w:color w:val="000000"/>
                <w:sz w:val="18"/>
                <w:szCs w:val="18"/>
                <w:lang w:eastAsia="en-GB"/>
              </w:rPr>
              <w:t>Introduction</w:t>
            </w:r>
          </w:p>
        </w:tc>
        <w:tc>
          <w:tcPr>
            <w:tcW w:w="3097" w:type="pct"/>
            <w:tcBorders>
              <w:top w:val="single" w:sz="4" w:space="0" w:color="auto"/>
              <w:left w:val="single" w:sz="4" w:space="0" w:color="auto"/>
              <w:bottom w:val="single" w:sz="4" w:space="0" w:color="auto"/>
              <w:right w:val="single" w:sz="4" w:space="0" w:color="auto"/>
            </w:tcBorders>
            <w:shd w:val="clear" w:color="000000" w:fill="C4D7F0"/>
            <w:vAlign w:val="center"/>
            <w:hideMark/>
          </w:tcPr>
          <w:p w14:paraId="4288412A" w14:textId="77777777" w:rsidR="001F7ECA" w:rsidRPr="00B91524" w:rsidRDefault="001F7ECA" w:rsidP="00F652C9">
            <w:pPr>
              <w:spacing w:after="0"/>
              <w:rPr>
                <w:rFonts w:ascii="Calibri" w:hAnsi="Calibri" w:cs="Calibri"/>
                <w:color w:val="000000"/>
                <w:szCs w:val="22"/>
                <w:lang w:eastAsia="en-GB"/>
              </w:rPr>
            </w:pPr>
            <w:r w:rsidRPr="00B91524">
              <w:rPr>
                <w:rFonts w:ascii="Calibri" w:eastAsia="Calibri" w:hAnsi="Calibri" w:cs="Calibri"/>
                <w:color w:val="000000"/>
                <w:szCs w:val="22"/>
                <w:lang w:eastAsia="en-GB"/>
              </w:rPr>
              <w:t xml:space="preserve">       -</w:t>
            </w:r>
            <w:r w:rsidRPr="00B91524">
              <w:rPr>
                <w:rFonts w:ascii="Times New Roman" w:eastAsia="Calibri" w:hAnsi="Times New Roman"/>
                <w:color w:val="000000"/>
                <w:sz w:val="14"/>
                <w:szCs w:val="14"/>
                <w:lang w:eastAsia="en-GB"/>
              </w:rPr>
              <w:t xml:space="preserve">          </w:t>
            </w:r>
            <w:r w:rsidRPr="00B91524">
              <w:rPr>
                <w:rFonts w:eastAsia="Calibri" w:cs="Arial"/>
                <w:color w:val="000000"/>
                <w:sz w:val="18"/>
                <w:szCs w:val="18"/>
                <w:lang w:eastAsia="en-GB"/>
              </w:rPr>
              <w:t>Project background</w:t>
            </w:r>
          </w:p>
          <w:p w14:paraId="0038B3B7" w14:textId="77777777" w:rsidR="001F7ECA" w:rsidRPr="00B91524" w:rsidRDefault="001F7ECA" w:rsidP="00F652C9">
            <w:pPr>
              <w:spacing w:after="0"/>
              <w:ind w:firstLineChars="200" w:firstLine="360"/>
              <w:rPr>
                <w:rFonts w:ascii="Calibri" w:hAnsi="Calibri" w:cs="Calibri"/>
                <w:color w:val="000000"/>
                <w:sz w:val="18"/>
                <w:szCs w:val="18"/>
                <w:lang w:eastAsia="en-GB"/>
              </w:rPr>
            </w:pPr>
            <w:r w:rsidRPr="00B91524">
              <w:rPr>
                <w:rFonts w:ascii="Calibri" w:hAnsi="Calibri" w:cs="Calibri"/>
                <w:color w:val="000000"/>
                <w:sz w:val="18"/>
                <w:szCs w:val="18"/>
                <w:lang w:eastAsia="en-GB"/>
              </w:rPr>
              <w:t>-</w:t>
            </w:r>
            <w:r w:rsidRPr="00B91524">
              <w:rPr>
                <w:rFonts w:ascii="Times New Roman" w:hAnsi="Times New Roman"/>
                <w:color w:val="000000"/>
                <w:sz w:val="14"/>
                <w:szCs w:val="14"/>
                <w:lang w:eastAsia="en-GB"/>
              </w:rPr>
              <w:t xml:space="preserve">          </w:t>
            </w:r>
            <w:r w:rsidRPr="00B91524">
              <w:rPr>
                <w:rFonts w:cs="Arial"/>
                <w:color w:val="000000"/>
                <w:sz w:val="18"/>
                <w:szCs w:val="18"/>
                <w:lang w:eastAsia="en-GB"/>
              </w:rPr>
              <w:t>Existing environment</w:t>
            </w:r>
          </w:p>
          <w:p w14:paraId="52CA244B" w14:textId="1A532396" w:rsidR="001F7ECA" w:rsidRPr="00B91524" w:rsidRDefault="001F7ECA" w:rsidP="00F652C9">
            <w:pPr>
              <w:spacing w:after="0"/>
              <w:ind w:firstLineChars="200" w:firstLine="360"/>
              <w:rPr>
                <w:rFonts w:ascii="Calibri" w:hAnsi="Calibri" w:cs="Calibri"/>
                <w:color w:val="000000"/>
                <w:szCs w:val="22"/>
                <w:lang w:eastAsia="en-GB"/>
              </w:rPr>
            </w:pPr>
            <w:r w:rsidRPr="00B91524">
              <w:rPr>
                <w:rFonts w:ascii="Calibri" w:hAnsi="Calibri" w:cs="Calibri"/>
                <w:color w:val="000000"/>
                <w:sz w:val="18"/>
                <w:szCs w:val="18"/>
                <w:lang w:eastAsia="en-GB"/>
              </w:rPr>
              <w:t>-</w:t>
            </w:r>
            <w:r w:rsidRPr="00B91524">
              <w:rPr>
                <w:rFonts w:ascii="Times New Roman" w:hAnsi="Times New Roman"/>
                <w:color w:val="000000"/>
                <w:sz w:val="14"/>
                <w:szCs w:val="14"/>
                <w:lang w:eastAsia="en-GB"/>
              </w:rPr>
              <w:t xml:space="preserve">          </w:t>
            </w:r>
            <w:r w:rsidRPr="00B91524">
              <w:rPr>
                <w:rFonts w:cs="Arial"/>
                <w:color w:val="000000"/>
                <w:sz w:val="18"/>
                <w:szCs w:val="18"/>
                <w:lang w:eastAsia="en-GB"/>
              </w:rPr>
              <w:t>Aims and objectives</w:t>
            </w:r>
          </w:p>
        </w:tc>
      </w:tr>
      <w:tr w:rsidR="00F652C9" w:rsidRPr="00B91524" w14:paraId="37CF1BA1" w14:textId="77777777" w:rsidTr="001F7ECA">
        <w:trPr>
          <w:trHeight w:val="268"/>
        </w:trPr>
        <w:tc>
          <w:tcPr>
            <w:tcW w:w="1903" w:type="pct"/>
            <w:vMerge w:val="restart"/>
            <w:tcBorders>
              <w:top w:val="single" w:sz="4" w:space="0" w:color="auto"/>
              <w:left w:val="single" w:sz="4" w:space="0" w:color="auto"/>
              <w:bottom w:val="single" w:sz="4" w:space="0" w:color="auto"/>
              <w:right w:val="single" w:sz="4" w:space="0" w:color="auto"/>
            </w:tcBorders>
            <w:shd w:val="clear" w:color="000000" w:fill="C4D7F0"/>
            <w:vAlign w:val="center"/>
            <w:hideMark/>
          </w:tcPr>
          <w:p w14:paraId="003EA510" w14:textId="77777777" w:rsidR="00F652C9" w:rsidRPr="00B91524" w:rsidRDefault="00F652C9" w:rsidP="00F652C9">
            <w:pPr>
              <w:spacing w:after="0"/>
              <w:rPr>
                <w:rFonts w:cs="Arial"/>
                <w:color w:val="000000"/>
                <w:sz w:val="18"/>
                <w:szCs w:val="18"/>
                <w:lang w:eastAsia="en-GB"/>
              </w:rPr>
            </w:pPr>
            <w:r w:rsidRPr="00B91524">
              <w:rPr>
                <w:rFonts w:cs="Arial"/>
                <w:color w:val="000000"/>
                <w:sz w:val="18"/>
                <w:szCs w:val="18"/>
                <w:lang w:eastAsia="en-GB"/>
              </w:rPr>
              <w:t>Methods</w:t>
            </w:r>
          </w:p>
        </w:tc>
        <w:tc>
          <w:tcPr>
            <w:tcW w:w="3097" w:type="pct"/>
            <w:tcBorders>
              <w:top w:val="single" w:sz="4" w:space="0" w:color="auto"/>
              <w:left w:val="single" w:sz="4" w:space="0" w:color="auto"/>
              <w:right w:val="single" w:sz="4" w:space="0" w:color="auto"/>
            </w:tcBorders>
            <w:shd w:val="clear" w:color="000000" w:fill="C4D7F0"/>
            <w:vAlign w:val="center"/>
            <w:hideMark/>
          </w:tcPr>
          <w:p w14:paraId="7E4F0065" w14:textId="77777777" w:rsidR="00F652C9" w:rsidRPr="00B91524" w:rsidRDefault="00F652C9" w:rsidP="00F652C9">
            <w:pPr>
              <w:spacing w:after="0"/>
              <w:ind w:firstLineChars="200" w:firstLine="360"/>
              <w:rPr>
                <w:rFonts w:ascii="Calibri" w:hAnsi="Calibri" w:cs="Calibri"/>
                <w:color w:val="000000"/>
                <w:sz w:val="18"/>
                <w:szCs w:val="18"/>
                <w:lang w:eastAsia="en-GB"/>
              </w:rPr>
            </w:pPr>
            <w:r w:rsidRPr="00B91524">
              <w:rPr>
                <w:rFonts w:ascii="Calibri" w:hAnsi="Calibri" w:cs="Calibri"/>
                <w:color w:val="000000"/>
                <w:sz w:val="18"/>
                <w:szCs w:val="18"/>
                <w:lang w:eastAsia="en-GB"/>
              </w:rPr>
              <w:t>-</w:t>
            </w:r>
            <w:r w:rsidRPr="00B91524">
              <w:rPr>
                <w:rFonts w:ascii="Times New Roman" w:hAnsi="Times New Roman"/>
                <w:color w:val="000000"/>
                <w:sz w:val="14"/>
                <w:szCs w:val="14"/>
                <w:lang w:eastAsia="en-GB"/>
              </w:rPr>
              <w:t xml:space="preserve">          </w:t>
            </w:r>
            <w:r w:rsidRPr="00B91524">
              <w:rPr>
                <w:rFonts w:cs="Arial"/>
                <w:color w:val="000000"/>
                <w:sz w:val="18"/>
                <w:szCs w:val="18"/>
                <w:lang w:eastAsia="en-GB"/>
              </w:rPr>
              <w:t>Sampling design and rationale</w:t>
            </w:r>
          </w:p>
        </w:tc>
      </w:tr>
      <w:tr w:rsidR="00F652C9" w:rsidRPr="00B91524" w14:paraId="341FD96A" w14:textId="77777777" w:rsidTr="001F7ECA">
        <w:trPr>
          <w:trHeight w:val="268"/>
        </w:trPr>
        <w:tc>
          <w:tcPr>
            <w:tcW w:w="1903" w:type="pct"/>
            <w:vMerge/>
            <w:tcBorders>
              <w:top w:val="single" w:sz="4" w:space="0" w:color="auto"/>
              <w:left w:val="single" w:sz="4" w:space="0" w:color="auto"/>
              <w:bottom w:val="single" w:sz="4" w:space="0" w:color="auto"/>
              <w:right w:val="single" w:sz="4" w:space="0" w:color="auto"/>
            </w:tcBorders>
            <w:vAlign w:val="center"/>
            <w:hideMark/>
          </w:tcPr>
          <w:p w14:paraId="1F63B7CC" w14:textId="77777777" w:rsidR="00F652C9" w:rsidRPr="00B91524" w:rsidRDefault="00F652C9" w:rsidP="00F652C9">
            <w:pPr>
              <w:spacing w:after="0"/>
              <w:rPr>
                <w:rFonts w:cs="Arial"/>
                <w:color w:val="000000"/>
                <w:sz w:val="18"/>
                <w:szCs w:val="18"/>
                <w:lang w:eastAsia="en-GB"/>
              </w:rPr>
            </w:pPr>
          </w:p>
        </w:tc>
        <w:tc>
          <w:tcPr>
            <w:tcW w:w="3097" w:type="pct"/>
            <w:tcBorders>
              <w:left w:val="single" w:sz="4" w:space="0" w:color="auto"/>
              <w:right w:val="single" w:sz="4" w:space="0" w:color="auto"/>
            </w:tcBorders>
            <w:shd w:val="clear" w:color="000000" w:fill="C4D7F0"/>
            <w:vAlign w:val="center"/>
            <w:hideMark/>
          </w:tcPr>
          <w:p w14:paraId="4F8ECB73" w14:textId="77777777" w:rsidR="00F652C9" w:rsidRPr="00B91524" w:rsidRDefault="00F652C9" w:rsidP="00F652C9">
            <w:pPr>
              <w:spacing w:after="0"/>
              <w:ind w:firstLineChars="200" w:firstLine="360"/>
              <w:rPr>
                <w:rFonts w:ascii="Calibri" w:hAnsi="Calibri" w:cs="Calibri"/>
                <w:color w:val="000000"/>
                <w:sz w:val="18"/>
                <w:szCs w:val="18"/>
                <w:lang w:eastAsia="en-GB"/>
              </w:rPr>
            </w:pPr>
            <w:r w:rsidRPr="00B91524">
              <w:rPr>
                <w:rFonts w:ascii="Calibri" w:hAnsi="Calibri" w:cs="Calibri"/>
                <w:color w:val="000000"/>
                <w:sz w:val="18"/>
                <w:szCs w:val="18"/>
                <w:lang w:eastAsia="en-GB"/>
              </w:rPr>
              <w:t>-</w:t>
            </w:r>
            <w:r w:rsidRPr="00B91524">
              <w:rPr>
                <w:rFonts w:ascii="Times New Roman" w:hAnsi="Times New Roman"/>
                <w:color w:val="000000"/>
                <w:sz w:val="14"/>
                <w:szCs w:val="14"/>
                <w:lang w:eastAsia="en-GB"/>
              </w:rPr>
              <w:t xml:space="preserve">          </w:t>
            </w:r>
            <w:r w:rsidRPr="00B91524">
              <w:rPr>
                <w:rFonts w:cs="Arial"/>
                <w:color w:val="000000"/>
                <w:sz w:val="18"/>
                <w:szCs w:val="18"/>
                <w:lang w:eastAsia="en-GB"/>
              </w:rPr>
              <w:t>Field methods</w:t>
            </w:r>
          </w:p>
        </w:tc>
      </w:tr>
      <w:tr w:rsidR="00F652C9" w:rsidRPr="00B91524" w14:paraId="3235DFAA" w14:textId="77777777" w:rsidTr="001F7ECA">
        <w:trPr>
          <w:trHeight w:val="268"/>
        </w:trPr>
        <w:tc>
          <w:tcPr>
            <w:tcW w:w="1903" w:type="pct"/>
            <w:vMerge/>
            <w:tcBorders>
              <w:top w:val="single" w:sz="4" w:space="0" w:color="auto"/>
              <w:left w:val="single" w:sz="4" w:space="0" w:color="auto"/>
              <w:bottom w:val="single" w:sz="4" w:space="0" w:color="auto"/>
              <w:right w:val="single" w:sz="4" w:space="0" w:color="auto"/>
            </w:tcBorders>
            <w:vAlign w:val="center"/>
            <w:hideMark/>
          </w:tcPr>
          <w:p w14:paraId="44E47ACB" w14:textId="77777777" w:rsidR="00F652C9" w:rsidRPr="00B91524" w:rsidRDefault="00F652C9" w:rsidP="00F652C9">
            <w:pPr>
              <w:spacing w:after="0"/>
              <w:rPr>
                <w:rFonts w:cs="Arial"/>
                <w:color w:val="000000"/>
                <w:sz w:val="18"/>
                <w:szCs w:val="18"/>
                <w:lang w:eastAsia="en-GB"/>
              </w:rPr>
            </w:pPr>
          </w:p>
        </w:tc>
        <w:tc>
          <w:tcPr>
            <w:tcW w:w="3097" w:type="pct"/>
            <w:tcBorders>
              <w:left w:val="single" w:sz="4" w:space="0" w:color="auto"/>
              <w:right w:val="single" w:sz="4" w:space="0" w:color="auto"/>
            </w:tcBorders>
            <w:shd w:val="clear" w:color="000000" w:fill="C4D7F0"/>
            <w:vAlign w:val="center"/>
            <w:hideMark/>
          </w:tcPr>
          <w:p w14:paraId="0C479BEF" w14:textId="77777777" w:rsidR="00F652C9" w:rsidRPr="00B91524" w:rsidRDefault="00F652C9" w:rsidP="00F652C9">
            <w:pPr>
              <w:spacing w:after="0"/>
              <w:ind w:firstLineChars="200" w:firstLine="360"/>
              <w:rPr>
                <w:rFonts w:ascii="Calibri" w:hAnsi="Calibri" w:cs="Calibri"/>
                <w:color w:val="000000"/>
                <w:sz w:val="18"/>
                <w:szCs w:val="18"/>
                <w:lang w:eastAsia="en-GB"/>
              </w:rPr>
            </w:pPr>
            <w:r w:rsidRPr="00B91524">
              <w:rPr>
                <w:rFonts w:ascii="Calibri" w:hAnsi="Calibri" w:cs="Calibri"/>
                <w:color w:val="000000"/>
                <w:sz w:val="18"/>
                <w:szCs w:val="18"/>
                <w:lang w:eastAsia="en-GB"/>
              </w:rPr>
              <w:t>-</w:t>
            </w:r>
            <w:r w:rsidRPr="00B91524">
              <w:rPr>
                <w:rFonts w:ascii="Times New Roman" w:hAnsi="Times New Roman"/>
                <w:color w:val="000000"/>
                <w:sz w:val="14"/>
                <w:szCs w:val="14"/>
                <w:lang w:eastAsia="en-GB"/>
              </w:rPr>
              <w:t xml:space="preserve">          </w:t>
            </w:r>
            <w:r w:rsidRPr="00B91524">
              <w:rPr>
                <w:rFonts w:cs="Arial"/>
                <w:color w:val="000000"/>
                <w:sz w:val="18"/>
                <w:szCs w:val="18"/>
                <w:lang w:eastAsia="en-GB"/>
              </w:rPr>
              <w:t>Laboratory methods</w:t>
            </w:r>
          </w:p>
        </w:tc>
      </w:tr>
      <w:tr w:rsidR="001F7ECA" w:rsidRPr="00B91524" w14:paraId="42F53590" w14:textId="77777777" w:rsidTr="001F7ECA">
        <w:trPr>
          <w:trHeight w:val="281"/>
        </w:trPr>
        <w:tc>
          <w:tcPr>
            <w:tcW w:w="1903" w:type="pct"/>
            <w:vMerge/>
            <w:tcBorders>
              <w:top w:val="single" w:sz="4" w:space="0" w:color="auto"/>
              <w:left w:val="single" w:sz="4" w:space="0" w:color="auto"/>
              <w:bottom w:val="single" w:sz="4" w:space="0" w:color="auto"/>
              <w:right w:val="single" w:sz="4" w:space="0" w:color="auto"/>
            </w:tcBorders>
            <w:vAlign w:val="center"/>
            <w:hideMark/>
          </w:tcPr>
          <w:p w14:paraId="57D24D4E" w14:textId="77777777" w:rsidR="00F652C9" w:rsidRPr="00B91524" w:rsidRDefault="00F652C9" w:rsidP="00F652C9">
            <w:pPr>
              <w:spacing w:after="0"/>
              <w:rPr>
                <w:rFonts w:cs="Arial"/>
                <w:color w:val="000000"/>
                <w:sz w:val="18"/>
                <w:szCs w:val="18"/>
                <w:lang w:eastAsia="en-GB"/>
              </w:rPr>
            </w:pPr>
          </w:p>
        </w:tc>
        <w:tc>
          <w:tcPr>
            <w:tcW w:w="3097" w:type="pct"/>
            <w:tcBorders>
              <w:left w:val="single" w:sz="4" w:space="0" w:color="auto"/>
              <w:bottom w:val="single" w:sz="4" w:space="0" w:color="auto"/>
              <w:right w:val="single" w:sz="4" w:space="0" w:color="auto"/>
            </w:tcBorders>
            <w:shd w:val="clear" w:color="000000" w:fill="C4D7F0"/>
            <w:vAlign w:val="center"/>
            <w:hideMark/>
          </w:tcPr>
          <w:p w14:paraId="39EC8D4A" w14:textId="77777777" w:rsidR="00F652C9" w:rsidRPr="00B91524" w:rsidRDefault="00F652C9" w:rsidP="00F652C9">
            <w:pPr>
              <w:spacing w:after="0"/>
              <w:ind w:firstLineChars="200" w:firstLine="360"/>
              <w:rPr>
                <w:rFonts w:ascii="Calibri" w:hAnsi="Calibri" w:cs="Calibri"/>
                <w:color w:val="000000"/>
                <w:sz w:val="18"/>
                <w:szCs w:val="18"/>
                <w:lang w:eastAsia="en-GB"/>
              </w:rPr>
            </w:pPr>
            <w:r w:rsidRPr="00B91524">
              <w:rPr>
                <w:rFonts w:ascii="Calibri" w:hAnsi="Calibri" w:cs="Calibri"/>
                <w:color w:val="000000"/>
                <w:sz w:val="18"/>
                <w:szCs w:val="18"/>
                <w:lang w:eastAsia="en-GB"/>
              </w:rPr>
              <w:t>-</w:t>
            </w:r>
            <w:r w:rsidRPr="00B91524">
              <w:rPr>
                <w:rFonts w:ascii="Times New Roman" w:hAnsi="Times New Roman"/>
                <w:color w:val="000000"/>
                <w:sz w:val="14"/>
                <w:szCs w:val="14"/>
                <w:lang w:eastAsia="en-GB"/>
              </w:rPr>
              <w:t xml:space="preserve">          </w:t>
            </w:r>
            <w:r w:rsidRPr="00B91524">
              <w:rPr>
                <w:rFonts w:cs="Arial"/>
                <w:color w:val="000000"/>
                <w:sz w:val="18"/>
                <w:szCs w:val="18"/>
                <w:lang w:eastAsia="en-GB"/>
              </w:rPr>
              <w:t>Statistical analysis</w:t>
            </w:r>
          </w:p>
        </w:tc>
      </w:tr>
      <w:tr w:rsidR="001F7ECA" w:rsidRPr="00B91524" w14:paraId="46241440" w14:textId="77777777" w:rsidTr="001F7ECA">
        <w:trPr>
          <w:trHeight w:val="268"/>
        </w:trPr>
        <w:tc>
          <w:tcPr>
            <w:tcW w:w="1903" w:type="pct"/>
            <w:vMerge w:val="restart"/>
            <w:tcBorders>
              <w:top w:val="single" w:sz="4" w:space="0" w:color="auto"/>
              <w:left w:val="single" w:sz="4" w:space="0" w:color="auto"/>
              <w:bottom w:val="single" w:sz="4" w:space="0" w:color="auto"/>
              <w:right w:val="single" w:sz="4" w:space="0" w:color="auto"/>
            </w:tcBorders>
            <w:shd w:val="clear" w:color="000000" w:fill="C4D7F0"/>
            <w:vAlign w:val="center"/>
            <w:hideMark/>
          </w:tcPr>
          <w:p w14:paraId="54149B72" w14:textId="77777777" w:rsidR="00F652C9" w:rsidRPr="00B91524" w:rsidRDefault="00F652C9" w:rsidP="00F652C9">
            <w:pPr>
              <w:spacing w:after="0"/>
              <w:rPr>
                <w:rFonts w:cs="Arial"/>
                <w:color w:val="000000"/>
                <w:sz w:val="18"/>
                <w:szCs w:val="18"/>
                <w:lang w:eastAsia="en-GB"/>
              </w:rPr>
            </w:pPr>
            <w:r w:rsidRPr="00B91524">
              <w:rPr>
                <w:rFonts w:cs="Arial"/>
                <w:color w:val="000000"/>
                <w:sz w:val="18"/>
                <w:szCs w:val="18"/>
                <w:lang w:eastAsia="en-GB"/>
              </w:rPr>
              <w:t>Results</w:t>
            </w:r>
          </w:p>
        </w:tc>
        <w:tc>
          <w:tcPr>
            <w:tcW w:w="3097" w:type="pct"/>
            <w:tcBorders>
              <w:top w:val="single" w:sz="4" w:space="0" w:color="auto"/>
              <w:left w:val="single" w:sz="4" w:space="0" w:color="auto"/>
              <w:right w:val="single" w:sz="4" w:space="0" w:color="auto"/>
            </w:tcBorders>
            <w:shd w:val="clear" w:color="000000" w:fill="C4D7F0"/>
            <w:vAlign w:val="center"/>
            <w:hideMark/>
          </w:tcPr>
          <w:p w14:paraId="359C3EDA" w14:textId="77777777" w:rsidR="00F652C9" w:rsidRPr="00B91524" w:rsidRDefault="00F652C9" w:rsidP="00F652C9">
            <w:pPr>
              <w:spacing w:after="0"/>
              <w:ind w:firstLineChars="200" w:firstLine="360"/>
              <w:rPr>
                <w:rFonts w:ascii="Calibri" w:hAnsi="Calibri" w:cs="Calibri"/>
                <w:color w:val="000000"/>
                <w:sz w:val="18"/>
                <w:szCs w:val="18"/>
                <w:lang w:eastAsia="en-GB"/>
              </w:rPr>
            </w:pPr>
            <w:r w:rsidRPr="00B91524">
              <w:rPr>
                <w:rFonts w:ascii="Calibri" w:hAnsi="Calibri" w:cs="Calibri"/>
                <w:color w:val="000000"/>
                <w:sz w:val="18"/>
                <w:szCs w:val="18"/>
                <w:lang w:eastAsia="en-GB"/>
              </w:rPr>
              <w:t>-</w:t>
            </w:r>
            <w:r w:rsidRPr="00B91524">
              <w:rPr>
                <w:rFonts w:ascii="Times New Roman" w:hAnsi="Times New Roman"/>
                <w:color w:val="000000"/>
                <w:sz w:val="14"/>
                <w:szCs w:val="14"/>
                <w:lang w:eastAsia="en-GB"/>
              </w:rPr>
              <w:t xml:space="preserve">          </w:t>
            </w:r>
            <w:r w:rsidRPr="00B91524">
              <w:rPr>
                <w:rFonts w:cs="Arial"/>
                <w:color w:val="000000"/>
                <w:sz w:val="18"/>
                <w:szCs w:val="18"/>
                <w:lang w:eastAsia="en-GB"/>
              </w:rPr>
              <w:t>Summary of progress</w:t>
            </w:r>
          </w:p>
        </w:tc>
      </w:tr>
      <w:tr w:rsidR="00F652C9" w:rsidRPr="00B91524" w14:paraId="779603B7" w14:textId="77777777" w:rsidTr="001F7ECA">
        <w:trPr>
          <w:trHeight w:val="268"/>
        </w:trPr>
        <w:tc>
          <w:tcPr>
            <w:tcW w:w="1903" w:type="pct"/>
            <w:vMerge/>
            <w:tcBorders>
              <w:top w:val="single" w:sz="4" w:space="0" w:color="auto"/>
              <w:left w:val="single" w:sz="4" w:space="0" w:color="auto"/>
              <w:bottom w:val="single" w:sz="4" w:space="0" w:color="auto"/>
              <w:right w:val="single" w:sz="4" w:space="0" w:color="auto"/>
            </w:tcBorders>
            <w:vAlign w:val="center"/>
            <w:hideMark/>
          </w:tcPr>
          <w:p w14:paraId="7129BA08" w14:textId="77777777" w:rsidR="00F652C9" w:rsidRPr="00B91524" w:rsidRDefault="00F652C9" w:rsidP="00F652C9">
            <w:pPr>
              <w:spacing w:after="0"/>
              <w:rPr>
                <w:rFonts w:cs="Arial"/>
                <w:color w:val="000000"/>
                <w:sz w:val="18"/>
                <w:szCs w:val="18"/>
                <w:lang w:eastAsia="en-GB"/>
              </w:rPr>
            </w:pPr>
          </w:p>
        </w:tc>
        <w:tc>
          <w:tcPr>
            <w:tcW w:w="3097" w:type="pct"/>
            <w:tcBorders>
              <w:left w:val="single" w:sz="4" w:space="0" w:color="auto"/>
              <w:right w:val="single" w:sz="4" w:space="0" w:color="auto"/>
            </w:tcBorders>
            <w:shd w:val="clear" w:color="000000" w:fill="C4D7F0"/>
            <w:vAlign w:val="center"/>
            <w:hideMark/>
          </w:tcPr>
          <w:p w14:paraId="68D2BC7D" w14:textId="77777777" w:rsidR="00F652C9" w:rsidRPr="00B91524" w:rsidRDefault="00F652C9" w:rsidP="00F652C9">
            <w:pPr>
              <w:spacing w:after="0"/>
              <w:ind w:firstLineChars="200" w:firstLine="360"/>
              <w:rPr>
                <w:rFonts w:ascii="Calibri" w:hAnsi="Calibri" w:cs="Calibri"/>
                <w:color w:val="000000"/>
                <w:sz w:val="18"/>
                <w:szCs w:val="18"/>
                <w:lang w:eastAsia="en-GB"/>
              </w:rPr>
            </w:pPr>
            <w:r w:rsidRPr="00B91524">
              <w:rPr>
                <w:rFonts w:ascii="Calibri" w:hAnsi="Calibri" w:cs="Calibri"/>
                <w:color w:val="000000"/>
                <w:sz w:val="18"/>
                <w:szCs w:val="18"/>
                <w:lang w:eastAsia="en-GB"/>
              </w:rPr>
              <w:t>-</w:t>
            </w:r>
            <w:r w:rsidRPr="00B91524">
              <w:rPr>
                <w:rFonts w:ascii="Times New Roman" w:hAnsi="Times New Roman"/>
                <w:color w:val="000000"/>
                <w:sz w:val="14"/>
                <w:szCs w:val="14"/>
                <w:lang w:eastAsia="en-GB"/>
              </w:rPr>
              <w:t xml:space="preserve">          </w:t>
            </w:r>
            <w:r w:rsidRPr="00B91524">
              <w:rPr>
                <w:rFonts w:cs="Arial"/>
                <w:color w:val="000000"/>
                <w:sz w:val="18"/>
                <w:szCs w:val="18"/>
                <w:lang w:eastAsia="en-GB"/>
              </w:rPr>
              <w:t>Sediment analysis and mapping</w:t>
            </w:r>
          </w:p>
        </w:tc>
      </w:tr>
      <w:tr w:rsidR="00F652C9" w:rsidRPr="00B91524" w14:paraId="58FA7EDD" w14:textId="77777777" w:rsidTr="001F7ECA">
        <w:trPr>
          <w:trHeight w:val="268"/>
        </w:trPr>
        <w:tc>
          <w:tcPr>
            <w:tcW w:w="1903" w:type="pct"/>
            <w:vMerge/>
            <w:tcBorders>
              <w:top w:val="single" w:sz="4" w:space="0" w:color="auto"/>
              <w:left w:val="single" w:sz="4" w:space="0" w:color="auto"/>
              <w:bottom w:val="single" w:sz="4" w:space="0" w:color="auto"/>
              <w:right w:val="single" w:sz="4" w:space="0" w:color="auto"/>
            </w:tcBorders>
            <w:vAlign w:val="center"/>
            <w:hideMark/>
          </w:tcPr>
          <w:p w14:paraId="51196A6E" w14:textId="77777777" w:rsidR="00F652C9" w:rsidRPr="00B91524" w:rsidRDefault="00F652C9" w:rsidP="00F652C9">
            <w:pPr>
              <w:spacing w:after="0"/>
              <w:rPr>
                <w:rFonts w:cs="Arial"/>
                <w:color w:val="000000"/>
                <w:sz w:val="18"/>
                <w:szCs w:val="18"/>
                <w:lang w:eastAsia="en-GB"/>
              </w:rPr>
            </w:pPr>
          </w:p>
        </w:tc>
        <w:tc>
          <w:tcPr>
            <w:tcW w:w="3097" w:type="pct"/>
            <w:tcBorders>
              <w:left w:val="single" w:sz="4" w:space="0" w:color="auto"/>
              <w:right w:val="single" w:sz="4" w:space="0" w:color="auto"/>
            </w:tcBorders>
            <w:shd w:val="clear" w:color="000000" w:fill="C4D7F0"/>
            <w:vAlign w:val="center"/>
            <w:hideMark/>
          </w:tcPr>
          <w:p w14:paraId="5714EDFA" w14:textId="77777777" w:rsidR="00F652C9" w:rsidRPr="00B91524" w:rsidRDefault="00F652C9" w:rsidP="00F652C9">
            <w:pPr>
              <w:spacing w:after="0"/>
              <w:ind w:firstLineChars="200" w:firstLine="360"/>
              <w:rPr>
                <w:rFonts w:ascii="Calibri" w:hAnsi="Calibri" w:cs="Calibri"/>
                <w:color w:val="000000"/>
                <w:sz w:val="18"/>
                <w:szCs w:val="18"/>
                <w:lang w:eastAsia="en-GB"/>
              </w:rPr>
            </w:pPr>
            <w:r w:rsidRPr="00B91524">
              <w:rPr>
                <w:rFonts w:ascii="Calibri" w:hAnsi="Calibri" w:cs="Calibri"/>
                <w:color w:val="000000"/>
                <w:sz w:val="18"/>
                <w:szCs w:val="18"/>
                <w:lang w:eastAsia="en-GB"/>
              </w:rPr>
              <w:t>-</w:t>
            </w:r>
            <w:r w:rsidRPr="00B91524">
              <w:rPr>
                <w:rFonts w:ascii="Times New Roman" w:hAnsi="Times New Roman"/>
                <w:color w:val="000000"/>
                <w:sz w:val="14"/>
                <w:szCs w:val="14"/>
                <w:lang w:eastAsia="en-GB"/>
              </w:rPr>
              <w:t xml:space="preserve">          </w:t>
            </w:r>
            <w:proofErr w:type="spellStart"/>
            <w:r w:rsidRPr="00B91524">
              <w:rPr>
                <w:rFonts w:cs="Arial"/>
                <w:color w:val="000000"/>
                <w:sz w:val="18"/>
                <w:szCs w:val="18"/>
                <w:lang w:eastAsia="en-GB"/>
              </w:rPr>
              <w:t>Macrobenthic</w:t>
            </w:r>
            <w:proofErr w:type="spellEnd"/>
            <w:r w:rsidRPr="00B91524">
              <w:rPr>
                <w:rFonts w:cs="Arial"/>
                <w:color w:val="000000"/>
                <w:sz w:val="18"/>
                <w:szCs w:val="18"/>
                <w:lang w:eastAsia="en-GB"/>
              </w:rPr>
              <w:t xml:space="preserve"> analysis and mapping </w:t>
            </w:r>
          </w:p>
        </w:tc>
      </w:tr>
      <w:tr w:rsidR="00F652C9" w:rsidRPr="00B91524" w14:paraId="5D44FD48" w14:textId="77777777" w:rsidTr="001F7ECA">
        <w:trPr>
          <w:trHeight w:val="268"/>
        </w:trPr>
        <w:tc>
          <w:tcPr>
            <w:tcW w:w="1903" w:type="pct"/>
            <w:vMerge/>
            <w:tcBorders>
              <w:top w:val="single" w:sz="4" w:space="0" w:color="auto"/>
              <w:left w:val="single" w:sz="4" w:space="0" w:color="auto"/>
              <w:bottom w:val="single" w:sz="4" w:space="0" w:color="auto"/>
              <w:right w:val="single" w:sz="4" w:space="0" w:color="auto"/>
            </w:tcBorders>
            <w:vAlign w:val="center"/>
            <w:hideMark/>
          </w:tcPr>
          <w:p w14:paraId="1CE1C578" w14:textId="77777777" w:rsidR="00F652C9" w:rsidRPr="00B91524" w:rsidRDefault="00F652C9" w:rsidP="00F652C9">
            <w:pPr>
              <w:spacing w:after="0"/>
              <w:rPr>
                <w:rFonts w:cs="Arial"/>
                <w:color w:val="000000"/>
                <w:sz w:val="18"/>
                <w:szCs w:val="18"/>
                <w:lang w:eastAsia="en-GB"/>
              </w:rPr>
            </w:pPr>
          </w:p>
        </w:tc>
        <w:tc>
          <w:tcPr>
            <w:tcW w:w="3097" w:type="pct"/>
            <w:tcBorders>
              <w:left w:val="single" w:sz="4" w:space="0" w:color="auto"/>
              <w:right w:val="single" w:sz="4" w:space="0" w:color="auto"/>
            </w:tcBorders>
            <w:shd w:val="clear" w:color="000000" w:fill="C4D7F0"/>
            <w:vAlign w:val="center"/>
            <w:hideMark/>
          </w:tcPr>
          <w:p w14:paraId="1C6156A0" w14:textId="41129DAB" w:rsidR="00F652C9" w:rsidRPr="00B91524" w:rsidRDefault="00F652C9" w:rsidP="00F652C9">
            <w:pPr>
              <w:spacing w:after="0"/>
              <w:ind w:firstLineChars="200" w:firstLine="360"/>
              <w:rPr>
                <w:rFonts w:ascii="Calibri" w:hAnsi="Calibri" w:cs="Calibri"/>
                <w:color w:val="000000"/>
                <w:sz w:val="18"/>
                <w:szCs w:val="18"/>
                <w:lang w:eastAsia="en-GB"/>
              </w:rPr>
            </w:pPr>
            <w:r w:rsidRPr="00B91524">
              <w:rPr>
                <w:rFonts w:ascii="Calibri" w:hAnsi="Calibri" w:cs="Calibri"/>
                <w:color w:val="000000"/>
                <w:sz w:val="18"/>
                <w:szCs w:val="18"/>
                <w:lang w:eastAsia="en-GB"/>
              </w:rPr>
              <w:t>-</w:t>
            </w:r>
            <w:r w:rsidRPr="00B91524">
              <w:rPr>
                <w:rFonts w:ascii="Times New Roman" w:hAnsi="Times New Roman"/>
                <w:color w:val="000000"/>
                <w:sz w:val="14"/>
                <w:szCs w:val="14"/>
                <w:lang w:eastAsia="en-GB"/>
              </w:rPr>
              <w:t xml:space="preserve">          </w:t>
            </w:r>
            <w:r w:rsidR="001F7ECA" w:rsidRPr="00B91524">
              <w:rPr>
                <w:rFonts w:cs="Arial"/>
                <w:color w:val="000000"/>
                <w:sz w:val="18"/>
                <w:szCs w:val="18"/>
                <w:lang w:eastAsia="en-GB"/>
              </w:rPr>
              <w:t>Seabed imagery</w:t>
            </w:r>
            <w:r w:rsidRPr="00B91524">
              <w:rPr>
                <w:rFonts w:cs="Arial"/>
                <w:color w:val="000000"/>
                <w:sz w:val="18"/>
                <w:szCs w:val="18"/>
                <w:lang w:eastAsia="en-GB"/>
              </w:rPr>
              <w:t xml:space="preserve"> analysis and mapping</w:t>
            </w:r>
          </w:p>
        </w:tc>
      </w:tr>
      <w:tr w:rsidR="00F652C9" w:rsidRPr="00B91524" w14:paraId="72DE1575" w14:textId="77777777" w:rsidTr="001F7ECA">
        <w:trPr>
          <w:trHeight w:val="268"/>
        </w:trPr>
        <w:tc>
          <w:tcPr>
            <w:tcW w:w="1903" w:type="pct"/>
            <w:vMerge/>
            <w:tcBorders>
              <w:top w:val="single" w:sz="4" w:space="0" w:color="auto"/>
              <w:left w:val="single" w:sz="4" w:space="0" w:color="auto"/>
              <w:bottom w:val="single" w:sz="4" w:space="0" w:color="auto"/>
              <w:right w:val="single" w:sz="4" w:space="0" w:color="auto"/>
            </w:tcBorders>
            <w:vAlign w:val="center"/>
            <w:hideMark/>
          </w:tcPr>
          <w:p w14:paraId="3AB5A619" w14:textId="77777777" w:rsidR="00F652C9" w:rsidRPr="00B91524" w:rsidRDefault="00F652C9" w:rsidP="00F652C9">
            <w:pPr>
              <w:spacing w:after="0"/>
              <w:rPr>
                <w:rFonts w:cs="Arial"/>
                <w:color w:val="000000"/>
                <w:sz w:val="18"/>
                <w:szCs w:val="18"/>
                <w:lang w:eastAsia="en-GB"/>
              </w:rPr>
            </w:pPr>
          </w:p>
        </w:tc>
        <w:tc>
          <w:tcPr>
            <w:tcW w:w="3097" w:type="pct"/>
            <w:tcBorders>
              <w:left w:val="single" w:sz="4" w:space="0" w:color="auto"/>
              <w:right w:val="single" w:sz="4" w:space="0" w:color="auto"/>
            </w:tcBorders>
            <w:shd w:val="clear" w:color="000000" w:fill="C4D7F0"/>
            <w:vAlign w:val="center"/>
            <w:hideMark/>
          </w:tcPr>
          <w:p w14:paraId="65B1D8FB" w14:textId="51DDC9B6" w:rsidR="00F652C9" w:rsidRPr="00B91524" w:rsidRDefault="00F652C9" w:rsidP="00F652C9">
            <w:pPr>
              <w:spacing w:after="0"/>
              <w:ind w:firstLineChars="200" w:firstLine="360"/>
              <w:rPr>
                <w:rFonts w:ascii="Calibri" w:hAnsi="Calibri" w:cs="Calibri"/>
                <w:color w:val="000000"/>
                <w:sz w:val="18"/>
                <w:szCs w:val="18"/>
                <w:lang w:eastAsia="en-GB"/>
              </w:rPr>
            </w:pPr>
            <w:r w:rsidRPr="00B91524">
              <w:rPr>
                <w:rFonts w:ascii="Calibri" w:hAnsi="Calibri" w:cs="Calibri"/>
                <w:color w:val="000000"/>
                <w:sz w:val="18"/>
                <w:szCs w:val="18"/>
                <w:lang w:eastAsia="en-GB"/>
              </w:rPr>
              <w:t>-</w:t>
            </w:r>
            <w:r w:rsidRPr="00B91524">
              <w:rPr>
                <w:rFonts w:ascii="Times New Roman" w:hAnsi="Times New Roman"/>
                <w:color w:val="000000"/>
                <w:sz w:val="14"/>
                <w:szCs w:val="14"/>
                <w:lang w:eastAsia="en-GB"/>
              </w:rPr>
              <w:t xml:space="preserve">          </w:t>
            </w:r>
            <w:r w:rsidRPr="00B91524">
              <w:rPr>
                <w:rFonts w:cs="Arial"/>
                <w:color w:val="000000"/>
                <w:sz w:val="18"/>
                <w:szCs w:val="18"/>
                <w:lang w:eastAsia="en-GB"/>
              </w:rPr>
              <w:t xml:space="preserve">Mapping of benthic habitats of </w:t>
            </w:r>
            <w:proofErr w:type="spellStart"/>
            <w:r w:rsidR="00F51211" w:rsidRPr="00B91524">
              <w:rPr>
                <w:rFonts w:cs="Arial"/>
                <w:color w:val="000000"/>
                <w:sz w:val="18"/>
                <w:szCs w:val="18"/>
                <w:lang w:eastAsia="en-GB"/>
              </w:rPr>
              <w:t>BHo</w:t>
            </w:r>
            <w:r w:rsidRPr="00B91524">
              <w:rPr>
                <w:rFonts w:cs="Arial"/>
                <w:color w:val="000000"/>
                <w:sz w:val="18"/>
                <w:szCs w:val="18"/>
                <w:lang w:eastAsia="en-GB"/>
              </w:rPr>
              <w:t>CEEI</w:t>
            </w:r>
            <w:proofErr w:type="spellEnd"/>
          </w:p>
        </w:tc>
      </w:tr>
      <w:tr w:rsidR="00F652C9" w:rsidRPr="00B91524" w14:paraId="5D212E9B" w14:textId="77777777" w:rsidTr="001F7ECA">
        <w:trPr>
          <w:trHeight w:val="268"/>
        </w:trPr>
        <w:tc>
          <w:tcPr>
            <w:tcW w:w="1903" w:type="pct"/>
            <w:vMerge/>
            <w:tcBorders>
              <w:top w:val="single" w:sz="4" w:space="0" w:color="auto"/>
              <w:left w:val="single" w:sz="4" w:space="0" w:color="auto"/>
              <w:bottom w:val="single" w:sz="4" w:space="0" w:color="auto"/>
              <w:right w:val="single" w:sz="4" w:space="0" w:color="auto"/>
            </w:tcBorders>
            <w:vAlign w:val="center"/>
            <w:hideMark/>
          </w:tcPr>
          <w:p w14:paraId="4CEA2882" w14:textId="77777777" w:rsidR="00F652C9" w:rsidRPr="00B91524" w:rsidRDefault="00F652C9" w:rsidP="00F652C9">
            <w:pPr>
              <w:spacing w:after="0"/>
              <w:rPr>
                <w:rFonts w:cs="Arial"/>
                <w:color w:val="000000"/>
                <w:sz w:val="18"/>
                <w:szCs w:val="18"/>
                <w:lang w:eastAsia="en-GB"/>
              </w:rPr>
            </w:pPr>
          </w:p>
        </w:tc>
        <w:tc>
          <w:tcPr>
            <w:tcW w:w="3097" w:type="pct"/>
            <w:tcBorders>
              <w:left w:val="single" w:sz="4" w:space="0" w:color="auto"/>
              <w:right w:val="single" w:sz="4" w:space="0" w:color="auto"/>
            </w:tcBorders>
            <w:shd w:val="clear" w:color="000000" w:fill="C4D7F0"/>
            <w:vAlign w:val="center"/>
            <w:hideMark/>
          </w:tcPr>
          <w:p w14:paraId="4E20D892" w14:textId="77777777" w:rsidR="00F652C9" w:rsidRPr="00B91524" w:rsidRDefault="00F652C9" w:rsidP="00F652C9">
            <w:pPr>
              <w:spacing w:after="0"/>
              <w:ind w:firstLineChars="200" w:firstLine="360"/>
              <w:rPr>
                <w:rFonts w:ascii="Calibri" w:hAnsi="Calibri" w:cs="Calibri"/>
                <w:color w:val="000000"/>
                <w:sz w:val="18"/>
                <w:szCs w:val="18"/>
                <w:lang w:eastAsia="en-GB"/>
              </w:rPr>
            </w:pPr>
            <w:r w:rsidRPr="00B91524">
              <w:rPr>
                <w:rFonts w:ascii="Calibri" w:hAnsi="Calibri" w:cs="Calibri"/>
                <w:color w:val="000000"/>
                <w:sz w:val="18"/>
                <w:szCs w:val="18"/>
                <w:lang w:eastAsia="en-GB"/>
              </w:rPr>
              <w:t>-</w:t>
            </w:r>
            <w:r w:rsidRPr="00B91524">
              <w:rPr>
                <w:rFonts w:ascii="Times New Roman" w:hAnsi="Times New Roman"/>
                <w:color w:val="000000"/>
                <w:sz w:val="14"/>
                <w:szCs w:val="14"/>
                <w:lang w:eastAsia="en-GB"/>
              </w:rPr>
              <w:t xml:space="preserve">          </w:t>
            </w:r>
            <w:r w:rsidRPr="00B91524">
              <w:rPr>
                <w:rFonts w:cs="Arial"/>
                <w:color w:val="000000"/>
                <w:sz w:val="18"/>
                <w:szCs w:val="18"/>
                <w:lang w:eastAsia="en-GB"/>
              </w:rPr>
              <w:t>Mapping of non-native species occurrences</w:t>
            </w:r>
          </w:p>
        </w:tc>
      </w:tr>
      <w:tr w:rsidR="001F7ECA" w:rsidRPr="00B91524" w14:paraId="57082670" w14:textId="77777777" w:rsidTr="001F7ECA">
        <w:trPr>
          <w:trHeight w:val="443"/>
        </w:trPr>
        <w:tc>
          <w:tcPr>
            <w:tcW w:w="1903" w:type="pct"/>
            <w:vMerge/>
            <w:tcBorders>
              <w:top w:val="single" w:sz="4" w:space="0" w:color="auto"/>
              <w:left w:val="single" w:sz="4" w:space="0" w:color="auto"/>
              <w:bottom w:val="single" w:sz="4" w:space="0" w:color="auto"/>
              <w:right w:val="single" w:sz="4" w:space="0" w:color="auto"/>
            </w:tcBorders>
            <w:vAlign w:val="center"/>
            <w:hideMark/>
          </w:tcPr>
          <w:p w14:paraId="5D05DAC8" w14:textId="77777777" w:rsidR="00F652C9" w:rsidRPr="00B91524" w:rsidRDefault="00F652C9" w:rsidP="00F652C9">
            <w:pPr>
              <w:spacing w:after="0"/>
              <w:rPr>
                <w:rFonts w:cs="Arial"/>
                <w:color w:val="000000"/>
                <w:sz w:val="18"/>
                <w:szCs w:val="18"/>
                <w:lang w:eastAsia="en-GB"/>
              </w:rPr>
            </w:pPr>
          </w:p>
        </w:tc>
        <w:tc>
          <w:tcPr>
            <w:tcW w:w="3097" w:type="pct"/>
            <w:tcBorders>
              <w:left w:val="single" w:sz="4" w:space="0" w:color="auto"/>
              <w:bottom w:val="single" w:sz="4" w:space="0" w:color="auto"/>
              <w:right w:val="single" w:sz="4" w:space="0" w:color="auto"/>
            </w:tcBorders>
            <w:shd w:val="clear" w:color="000000" w:fill="C4D7F0"/>
            <w:vAlign w:val="center"/>
            <w:hideMark/>
          </w:tcPr>
          <w:p w14:paraId="44A708C4" w14:textId="77777777" w:rsidR="00F652C9" w:rsidRPr="00B91524" w:rsidRDefault="00F652C9" w:rsidP="00F652C9">
            <w:pPr>
              <w:spacing w:after="0"/>
              <w:ind w:firstLineChars="200" w:firstLine="360"/>
              <w:rPr>
                <w:rFonts w:ascii="Calibri" w:hAnsi="Calibri" w:cs="Calibri"/>
                <w:color w:val="000000"/>
                <w:sz w:val="18"/>
                <w:szCs w:val="18"/>
                <w:lang w:eastAsia="en-GB"/>
              </w:rPr>
            </w:pPr>
            <w:r w:rsidRPr="00B91524">
              <w:rPr>
                <w:rFonts w:ascii="Calibri" w:hAnsi="Calibri" w:cs="Calibri"/>
                <w:color w:val="000000"/>
                <w:sz w:val="18"/>
                <w:szCs w:val="18"/>
                <w:lang w:eastAsia="en-GB"/>
              </w:rPr>
              <w:t>-</w:t>
            </w:r>
            <w:r w:rsidRPr="00B91524">
              <w:rPr>
                <w:rFonts w:ascii="Times New Roman" w:hAnsi="Times New Roman"/>
                <w:color w:val="000000"/>
                <w:sz w:val="14"/>
                <w:szCs w:val="14"/>
                <w:lang w:eastAsia="en-GB"/>
              </w:rPr>
              <w:t xml:space="preserve">          </w:t>
            </w:r>
            <w:r w:rsidRPr="00B91524">
              <w:rPr>
                <w:rFonts w:cs="Arial"/>
                <w:color w:val="000000"/>
                <w:sz w:val="18"/>
                <w:szCs w:val="18"/>
                <w:lang w:eastAsia="en-GB"/>
              </w:rPr>
              <w:t>Comparisons to historic datasets and existing mapping</w:t>
            </w:r>
          </w:p>
        </w:tc>
      </w:tr>
      <w:tr w:rsidR="001F7ECA" w:rsidRPr="00B91524" w14:paraId="10AE077E" w14:textId="77777777" w:rsidTr="001F7ECA">
        <w:trPr>
          <w:trHeight w:val="268"/>
        </w:trPr>
        <w:tc>
          <w:tcPr>
            <w:tcW w:w="1903" w:type="pct"/>
            <w:vMerge w:val="restart"/>
            <w:tcBorders>
              <w:top w:val="single" w:sz="4" w:space="0" w:color="auto"/>
              <w:left w:val="single" w:sz="4" w:space="0" w:color="auto"/>
              <w:bottom w:val="single" w:sz="4" w:space="0" w:color="auto"/>
              <w:right w:val="single" w:sz="4" w:space="0" w:color="auto"/>
            </w:tcBorders>
            <w:shd w:val="clear" w:color="000000" w:fill="C4D7F0"/>
            <w:vAlign w:val="center"/>
            <w:hideMark/>
          </w:tcPr>
          <w:p w14:paraId="6EB76B5B" w14:textId="77777777" w:rsidR="00F652C9" w:rsidRPr="00B91524" w:rsidRDefault="00F652C9" w:rsidP="00F652C9">
            <w:pPr>
              <w:spacing w:after="0"/>
              <w:rPr>
                <w:rFonts w:cs="Arial"/>
                <w:color w:val="000000"/>
                <w:sz w:val="18"/>
                <w:szCs w:val="18"/>
                <w:lang w:eastAsia="en-GB"/>
              </w:rPr>
            </w:pPr>
            <w:r w:rsidRPr="00B91524">
              <w:rPr>
                <w:rFonts w:cs="Arial"/>
                <w:color w:val="000000"/>
                <w:sz w:val="18"/>
                <w:szCs w:val="18"/>
                <w:lang w:eastAsia="en-GB"/>
              </w:rPr>
              <w:t>Discussion</w:t>
            </w:r>
          </w:p>
        </w:tc>
        <w:tc>
          <w:tcPr>
            <w:tcW w:w="3097" w:type="pct"/>
            <w:tcBorders>
              <w:top w:val="single" w:sz="4" w:space="0" w:color="auto"/>
              <w:left w:val="single" w:sz="4" w:space="0" w:color="auto"/>
              <w:right w:val="single" w:sz="4" w:space="0" w:color="auto"/>
            </w:tcBorders>
            <w:shd w:val="clear" w:color="000000" w:fill="C4D7F0"/>
            <w:vAlign w:val="center"/>
            <w:hideMark/>
          </w:tcPr>
          <w:p w14:paraId="0D9E65A4" w14:textId="77777777" w:rsidR="00F652C9" w:rsidRPr="00B91524" w:rsidRDefault="00F652C9" w:rsidP="00F652C9">
            <w:pPr>
              <w:spacing w:after="0"/>
              <w:ind w:firstLineChars="200" w:firstLine="360"/>
              <w:rPr>
                <w:rFonts w:ascii="Calibri" w:hAnsi="Calibri" w:cs="Calibri"/>
                <w:color w:val="000000"/>
                <w:sz w:val="18"/>
                <w:szCs w:val="18"/>
                <w:lang w:eastAsia="en-GB"/>
              </w:rPr>
            </w:pPr>
            <w:r w:rsidRPr="00B91524">
              <w:rPr>
                <w:rFonts w:ascii="Calibri" w:hAnsi="Calibri" w:cs="Calibri"/>
                <w:color w:val="000000"/>
                <w:sz w:val="18"/>
                <w:szCs w:val="18"/>
                <w:lang w:eastAsia="en-GB"/>
              </w:rPr>
              <w:t>-</w:t>
            </w:r>
            <w:r w:rsidRPr="00B91524">
              <w:rPr>
                <w:rFonts w:ascii="Times New Roman" w:hAnsi="Times New Roman"/>
                <w:color w:val="000000"/>
                <w:sz w:val="14"/>
                <w:szCs w:val="14"/>
                <w:lang w:eastAsia="en-GB"/>
              </w:rPr>
              <w:t xml:space="preserve">          </w:t>
            </w:r>
            <w:r w:rsidRPr="00B91524">
              <w:rPr>
                <w:rFonts w:cs="Arial"/>
                <w:color w:val="000000"/>
                <w:sz w:val="18"/>
                <w:szCs w:val="18"/>
                <w:lang w:eastAsia="en-GB"/>
              </w:rPr>
              <w:t>Contextualisation of results</w:t>
            </w:r>
          </w:p>
        </w:tc>
      </w:tr>
      <w:tr w:rsidR="00F652C9" w:rsidRPr="00B91524" w14:paraId="56508DB8" w14:textId="77777777" w:rsidTr="001F7ECA">
        <w:trPr>
          <w:trHeight w:val="268"/>
        </w:trPr>
        <w:tc>
          <w:tcPr>
            <w:tcW w:w="1903" w:type="pct"/>
            <w:vMerge/>
            <w:tcBorders>
              <w:top w:val="single" w:sz="4" w:space="0" w:color="auto"/>
              <w:left w:val="single" w:sz="4" w:space="0" w:color="auto"/>
              <w:bottom w:val="single" w:sz="4" w:space="0" w:color="auto"/>
              <w:right w:val="single" w:sz="4" w:space="0" w:color="auto"/>
            </w:tcBorders>
            <w:vAlign w:val="center"/>
            <w:hideMark/>
          </w:tcPr>
          <w:p w14:paraId="7F62281D" w14:textId="77777777" w:rsidR="00F652C9" w:rsidRPr="00B91524" w:rsidRDefault="00F652C9" w:rsidP="00F652C9">
            <w:pPr>
              <w:spacing w:after="0"/>
              <w:rPr>
                <w:rFonts w:cs="Arial"/>
                <w:color w:val="000000"/>
                <w:sz w:val="18"/>
                <w:szCs w:val="18"/>
                <w:lang w:eastAsia="en-GB"/>
              </w:rPr>
            </w:pPr>
          </w:p>
        </w:tc>
        <w:tc>
          <w:tcPr>
            <w:tcW w:w="3097" w:type="pct"/>
            <w:tcBorders>
              <w:left w:val="single" w:sz="4" w:space="0" w:color="auto"/>
              <w:right w:val="single" w:sz="4" w:space="0" w:color="auto"/>
            </w:tcBorders>
            <w:shd w:val="clear" w:color="000000" w:fill="C4D7F0"/>
            <w:vAlign w:val="center"/>
            <w:hideMark/>
          </w:tcPr>
          <w:p w14:paraId="73A9DB57" w14:textId="77777777" w:rsidR="00F652C9" w:rsidRPr="00B91524" w:rsidRDefault="00F652C9" w:rsidP="00F652C9">
            <w:pPr>
              <w:spacing w:after="0"/>
              <w:ind w:firstLineChars="200" w:firstLine="360"/>
              <w:rPr>
                <w:rFonts w:ascii="Calibri" w:hAnsi="Calibri" w:cs="Calibri"/>
                <w:color w:val="000000"/>
                <w:sz w:val="18"/>
                <w:szCs w:val="18"/>
                <w:lang w:eastAsia="en-GB"/>
              </w:rPr>
            </w:pPr>
            <w:r w:rsidRPr="00B91524">
              <w:rPr>
                <w:rFonts w:ascii="Calibri" w:hAnsi="Calibri" w:cs="Calibri"/>
                <w:color w:val="000000"/>
                <w:sz w:val="18"/>
                <w:szCs w:val="18"/>
                <w:lang w:eastAsia="en-GB"/>
              </w:rPr>
              <w:t>-</w:t>
            </w:r>
            <w:r w:rsidRPr="00B91524">
              <w:rPr>
                <w:rFonts w:ascii="Times New Roman" w:hAnsi="Times New Roman"/>
                <w:color w:val="000000"/>
                <w:sz w:val="14"/>
                <w:szCs w:val="14"/>
                <w:lang w:eastAsia="en-GB"/>
              </w:rPr>
              <w:t xml:space="preserve">          </w:t>
            </w:r>
            <w:r w:rsidRPr="00B91524">
              <w:rPr>
                <w:rFonts w:cs="Arial"/>
                <w:color w:val="000000"/>
                <w:sz w:val="18"/>
                <w:szCs w:val="18"/>
                <w:lang w:eastAsia="en-GB"/>
              </w:rPr>
              <w:t>Limitations of study</w:t>
            </w:r>
          </w:p>
        </w:tc>
      </w:tr>
      <w:tr w:rsidR="00F652C9" w:rsidRPr="00B91524" w14:paraId="29E6FBAD" w14:textId="77777777" w:rsidTr="001F7ECA">
        <w:trPr>
          <w:trHeight w:val="303"/>
        </w:trPr>
        <w:tc>
          <w:tcPr>
            <w:tcW w:w="1903" w:type="pct"/>
            <w:vMerge/>
            <w:tcBorders>
              <w:top w:val="single" w:sz="4" w:space="0" w:color="auto"/>
              <w:left w:val="single" w:sz="4" w:space="0" w:color="auto"/>
              <w:bottom w:val="single" w:sz="4" w:space="0" w:color="auto"/>
              <w:right w:val="single" w:sz="4" w:space="0" w:color="auto"/>
            </w:tcBorders>
            <w:vAlign w:val="center"/>
            <w:hideMark/>
          </w:tcPr>
          <w:p w14:paraId="6B59A215" w14:textId="77777777" w:rsidR="00F652C9" w:rsidRPr="00B91524" w:rsidRDefault="00F652C9" w:rsidP="00F652C9">
            <w:pPr>
              <w:spacing w:after="0"/>
              <w:rPr>
                <w:rFonts w:cs="Arial"/>
                <w:color w:val="000000"/>
                <w:sz w:val="18"/>
                <w:szCs w:val="18"/>
                <w:lang w:eastAsia="en-GB"/>
              </w:rPr>
            </w:pPr>
          </w:p>
        </w:tc>
        <w:tc>
          <w:tcPr>
            <w:tcW w:w="3097" w:type="pct"/>
            <w:tcBorders>
              <w:left w:val="single" w:sz="4" w:space="0" w:color="auto"/>
              <w:bottom w:val="single" w:sz="4" w:space="0" w:color="auto"/>
              <w:right w:val="single" w:sz="4" w:space="0" w:color="auto"/>
            </w:tcBorders>
            <w:shd w:val="clear" w:color="000000" w:fill="C4D7F0"/>
            <w:vAlign w:val="center"/>
            <w:hideMark/>
          </w:tcPr>
          <w:p w14:paraId="68AC0274" w14:textId="77777777" w:rsidR="00F652C9" w:rsidRPr="00B91524" w:rsidRDefault="00F652C9" w:rsidP="00F652C9">
            <w:pPr>
              <w:spacing w:after="0"/>
              <w:ind w:firstLineChars="200" w:firstLine="360"/>
              <w:rPr>
                <w:rFonts w:ascii="Calibri" w:hAnsi="Calibri" w:cs="Calibri"/>
                <w:color w:val="000000"/>
                <w:sz w:val="18"/>
                <w:szCs w:val="18"/>
                <w:lang w:eastAsia="en-GB"/>
              </w:rPr>
            </w:pPr>
            <w:r w:rsidRPr="00B91524">
              <w:rPr>
                <w:rFonts w:ascii="Calibri" w:hAnsi="Calibri" w:cs="Calibri"/>
                <w:color w:val="000000"/>
                <w:sz w:val="18"/>
                <w:szCs w:val="18"/>
                <w:lang w:eastAsia="en-GB"/>
              </w:rPr>
              <w:t>-</w:t>
            </w:r>
            <w:r w:rsidRPr="00B91524">
              <w:rPr>
                <w:rFonts w:ascii="Times New Roman" w:hAnsi="Times New Roman"/>
                <w:color w:val="000000"/>
                <w:sz w:val="14"/>
                <w:szCs w:val="14"/>
                <w:lang w:eastAsia="en-GB"/>
              </w:rPr>
              <w:t xml:space="preserve">          </w:t>
            </w:r>
            <w:r w:rsidRPr="00B91524">
              <w:rPr>
                <w:rFonts w:cs="Arial"/>
                <w:color w:val="000000"/>
                <w:sz w:val="18"/>
                <w:szCs w:val="18"/>
                <w:lang w:eastAsia="en-GB"/>
              </w:rPr>
              <w:t>Conclusion</w:t>
            </w:r>
          </w:p>
        </w:tc>
      </w:tr>
      <w:tr w:rsidR="00F652C9" w:rsidRPr="00B91524" w14:paraId="1464F0EA" w14:textId="77777777" w:rsidTr="001F7ECA">
        <w:trPr>
          <w:trHeight w:val="281"/>
        </w:trPr>
        <w:tc>
          <w:tcPr>
            <w:tcW w:w="1903" w:type="pct"/>
            <w:tcBorders>
              <w:top w:val="single" w:sz="4" w:space="0" w:color="auto"/>
              <w:left w:val="single" w:sz="4" w:space="0" w:color="auto"/>
              <w:bottom w:val="single" w:sz="4" w:space="0" w:color="auto"/>
              <w:right w:val="single" w:sz="4" w:space="0" w:color="auto"/>
            </w:tcBorders>
            <w:shd w:val="clear" w:color="000000" w:fill="C4D7F0"/>
            <w:vAlign w:val="center"/>
            <w:hideMark/>
          </w:tcPr>
          <w:p w14:paraId="1D51E607" w14:textId="77777777" w:rsidR="00F652C9" w:rsidRPr="00B91524" w:rsidRDefault="00F652C9" w:rsidP="00F652C9">
            <w:pPr>
              <w:spacing w:after="0"/>
              <w:rPr>
                <w:rFonts w:cs="Arial"/>
                <w:color w:val="000000"/>
                <w:sz w:val="18"/>
                <w:szCs w:val="18"/>
                <w:lang w:eastAsia="en-GB"/>
              </w:rPr>
            </w:pPr>
            <w:r w:rsidRPr="00B91524">
              <w:rPr>
                <w:rFonts w:cs="Arial"/>
                <w:color w:val="000000"/>
                <w:sz w:val="18"/>
                <w:szCs w:val="18"/>
                <w:lang w:eastAsia="en-GB"/>
              </w:rPr>
              <w:t>References</w:t>
            </w:r>
          </w:p>
        </w:tc>
        <w:tc>
          <w:tcPr>
            <w:tcW w:w="3097" w:type="pct"/>
            <w:tcBorders>
              <w:top w:val="single" w:sz="4" w:space="0" w:color="auto"/>
              <w:left w:val="single" w:sz="4" w:space="0" w:color="auto"/>
              <w:bottom w:val="single" w:sz="4" w:space="0" w:color="auto"/>
              <w:right w:val="single" w:sz="4" w:space="0" w:color="auto"/>
            </w:tcBorders>
            <w:shd w:val="clear" w:color="000000" w:fill="C4D7F0"/>
            <w:vAlign w:val="center"/>
            <w:hideMark/>
          </w:tcPr>
          <w:p w14:paraId="69F26DA3" w14:textId="1EEEFECC" w:rsidR="00F652C9" w:rsidRPr="00B91524" w:rsidRDefault="00F652C9" w:rsidP="00F652C9">
            <w:pPr>
              <w:spacing w:after="0"/>
              <w:rPr>
                <w:rFonts w:cs="Arial"/>
                <w:color w:val="000000"/>
                <w:sz w:val="18"/>
                <w:szCs w:val="18"/>
                <w:lang w:eastAsia="en-GB"/>
              </w:rPr>
            </w:pPr>
            <w:r w:rsidRPr="00B91524">
              <w:rPr>
                <w:rFonts w:cs="Arial"/>
                <w:color w:val="000000"/>
                <w:sz w:val="18"/>
                <w:szCs w:val="18"/>
                <w:lang w:eastAsia="en-GB"/>
              </w:rPr>
              <w:t xml:space="preserve">      </w:t>
            </w:r>
            <w:r w:rsidR="001F7ECA" w:rsidRPr="00B91524">
              <w:rPr>
                <w:rFonts w:cs="Arial"/>
                <w:color w:val="000000"/>
                <w:sz w:val="18"/>
                <w:szCs w:val="18"/>
                <w:lang w:eastAsia="en-GB"/>
              </w:rPr>
              <w:t xml:space="preserve"> </w:t>
            </w:r>
            <w:r w:rsidRPr="00B91524">
              <w:rPr>
                <w:rFonts w:cs="Arial"/>
                <w:color w:val="000000"/>
                <w:sz w:val="18"/>
                <w:szCs w:val="18"/>
                <w:lang w:eastAsia="en-GB"/>
              </w:rPr>
              <w:t>-</w:t>
            </w:r>
          </w:p>
        </w:tc>
      </w:tr>
      <w:tr w:rsidR="00F652C9" w:rsidRPr="00B91524" w14:paraId="44CD09A5" w14:textId="77777777" w:rsidTr="001F7ECA">
        <w:trPr>
          <w:trHeight w:val="268"/>
        </w:trPr>
        <w:tc>
          <w:tcPr>
            <w:tcW w:w="1903" w:type="pct"/>
            <w:vMerge w:val="restart"/>
            <w:tcBorders>
              <w:top w:val="single" w:sz="4" w:space="0" w:color="auto"/>
              <w:left w:val="single" w:sz="4" w:space="0" w:color="auto"/>
              <w:bottom w:val="single" w:sz="4" w:space="0" w:color="auto"/>
              <w:right w:val="single" w:sz="4" w:space="0" w:color="auto"/>
            </w:tcBorders>
            <w:shd w:val="clear" w:color="000000" w:fill="C4D7F0"/>
            <w:vAlign w:val="center"/>
            <w:hideMark/>
          </w:tcPr>
          <w:p w14:paraId="7F7B0DA8" w14:textId="77777777" w:rsidR="00F652C9" w:rsidRPr="00B91524" w:rsidRDefault="00F652C9" w:rsidP="00F652C9">
            <w:pPr>
              <w:spacing w:after="0"/>
              <w:rPr>
                <w:rFonts w:cs="Arial"/>
                <w:color w:val="000000"/>
                <w:sz w:val="18"/>
                <w:szCs w:val="18"/>
                <w:lang w:eastAsia="en-GB"/>
              </w:rPr>
            </w:pPr>
            <w:r w:rsidRPr="00B91524">
              <w:rPr>
                <w:rFonts w:cs="Arial"/>
                <w:color w:val="000000"/>
                <w:sz w:val="18"/>
                <w:szCs w:val="18"/>
                <w:lang w:eastAsia="en-GB"/>
              </w:rPr>
              <w:t>Appendices</w:t>
            </w:r>
          </w:p>
        </w:tc>
        <w:tc>
          <w:tcPr>
            <w:tcW w:w="3097" w:type="pct"/>
            <w:tcBorders>
              <w:top w:val="single" w:sz="4" w:space="0" w:color="auto"/>
              <w:left w:val="single" w:sz="4" w:space="0" w:color="auto"/>
              <w:right w:val="single" w:sz="4" w:space="0" w:color="auto"/>
            </w:tcBorders>
            <w:shd w:val="clear" w:color="000000" w:fill="C4D7F0"/>
            <w:vAlign w:val="center"/>
            <w:hideMark/>
          </w:tcPr>
          <w:p w14:paraId="2EC7DF44" w14:textId="77777777" w:rsidR="00F652C9" w:rsidRPr="00B91524" w:rsidRDefault="00F652C9" w:rsidP="00F652C9">
            <w:pPr>
              <w:spacing w:after="0"/>
              <w:ind w:firstLineChars="200" w:firstLine="360"/>
              <w:rPr>
                <w:rFonts w:ascii="Calibri" w:hAnsi="Calibri" w:cs="Calibri"/>
                <w:color w:val="000000"/>
                <w:sz w:val="18"/>
                <w:szCs w:val="18"/>
                <w:lang w:eastAsia="en-GB"/>
              </w:rPr>
            </w:pPr>
            <w:r w:rsidRPr="00B91524">
              <w:rPr>
                <w:rFonts w:ascii="Calibri" w:hAnsi="Calibri" w:cs="Calibri"/>
                <w:color w:val="000000"/>
                <w:sz w:val="18"/>
                <w:szCs w:val="18"/>
                <w:lang w:eastAsia="en-GB"/>
              </w:rPr>
              <w:t>-</w:t>
            </w:r>
            <w:r w:rsidRPr="00B91524">
              <w:rPr>
                <w:rFonts w:ascii="Times New Roman" w:hAnsi="Times New Roman"/>
                <w:color w:val="000000"/>
                <w:sz w:val="14"/>
                <w:szCs w:val="14"/>
                <w:lang w:eastAsia="en-GB"/>
              </w:rPr>
              <w:t xml:space="preserve">          </w:t>
            </w:r>
            <w:r w:rsidRPr="00B91524">
              <w:rPr>
                <w:rFonts w:cs="Arial"/>
                <w:color w:val="000000"/>
                <w:sz w:val="18"/>
                <w:szCs w:val="18"/>
                <w:lang w:eastAsia="en-GB"/>
              </w:rPr>
              <w:t>Sampling logs</w:t>
            </w:r>
          </w:p>
        </w:tc>
      </w:tr>
      <w:tr w:rsidR="00F652C9" w:rsidRPr="00B91524" w14:paraId="62D3CCC5" w14:textId="77777777" w:rsidTr="001F7ECA">
        <w:trPr>
          <w:trHeight w:val="268"/>
        </w:trPr>
        <w:tc>
          <w:tcPr>
            <w:tcW w:w="1903" w:type="pct"/>
            <w:vMerge/>
            <w:tcBorders>
              <w:top w:val="single" w:sz="4" w:space="0" w:color="auto"/>
              <w:left w:val="single" w:sz="4" w:space="0" w:color="auto"/>
              <w:bottom w:val="single" w:sz="4" w:space="0" w:color="auto"/>
              <w:right w:val="single" w:sz="4" w:space="0" w:color="auto"/>
            </w:tcBorders>
            <w:vAlign w:val="center"/>
            <w:hideMark/>
          </w:tcPr>
          <w:p w14:paraId="08F7E5E6" w14:textId="77777777" w:rsidR="00F652C9" w:rsidRPr="00B91524" w:rsidRDefault="00F652C9" w:rsidP="00F652C9">
            <w:pPr>
              <w:spacing w:after="0"/>
              <w:rPr>
                <w:rFonts w:cs="Arial"/>
                <w:color w:val="000000"/>
                <w:sz w:val="18"/>
                <w:szCs w:val="18"/>
                <w:lang w:eastAsia="en-GB"/>
              </w:rPr>
            </w:pPr>
          </w:p>
        </w:tc>
        <w:tc>
          <w:tcPr>
            <w:tcW w:w="3097" w:type="pct"/>
            <w:tcBorders>
              <w:left w:val="single" w:sz="4" w:space="0" w:color="auto"/>
              <w:right w:val="single" w:sz="4" w:space="0" w:color="auto"/>
            </w:tcBorders>
            <w:shd w:val="clear" w:color="000000" w:fill="C4D7F0"/>
            <w:vAlign w:val="center"/>
            <w:hideMark/>
          </w:tcPr>
          <w:p w14:paraId="293B4BB3" w14:textId="77777777" w:rsidR="00F652C9" w:rsidRPr="00B91524" w:rsidRDefault="00F652C9" w:rsidP="00F652C9">
            <w:pPr>
              <w:spacing w:after="0"/>
              <w:ind w:firstLineChars="200" w:firstLine="360"/>
              <w:rPr>
                <w:rFonts w:ascii="Calibri" w:hAnsi="Calibri" w:cs="Calibri"/>
                <w:color w:val="000000"/>
                <w:sz w:val="18"/>
                <w:szCs w:val="18"/>
                <w:lang w:eastAsia="en-GB"/>
              </w:rPr>
            </w:pPr>
            <w:r w:rsidRPr="00B91524">
              <w:rPr>
                <w:rFonts w:ascii="Calibri" w:hAnsi="Calibri" w:cs="Calibri"/>
                <w:color w:val="000000"/>
                <w:sz w:val="18"/>
                <w:szCs w:val="18"/>
                <w:lang w:eastAsia="en-GB"/>
              </w:rPr>
              <w:t>-</w:t>
            </w:r>
            <w:r w:rsidRPr="00B91524">
              <w:rPr>
                <w:rFonts w:ascii="Times New Roman" w:hAnsi="Times New Roman"/>
                <w:color w:val="000000"/>
                <w:sz w:val="14"/>
                <w:szCs w:val="14"/>
                <w:lang w:eastAsia="en-GB"/>
              </w:rPr>
              <w:t xml:space="preserve">          </w:t>
            </w:r>
            <w:r w:rsidRPr="00B91524">
              <w:rPr>
                <w:rFonts w:cs="Arial"/>
                <w:color w:val="000000"/>
                <w:sz w:val="18"/>
                <w:szCs w:val="18"/>
                <w:lang w:eastAsia="en-GB"/>
              </w:rPr>
              <w:t>Data matrices</w:t>
            </w:r>
          </w:p>
        </w:tc>
      </w:tr>
      <w:tr w:rsidR="00F652C9" w:rsidRPr="00B91524" w14:paraId="4BDA42F0" w14:textId="77777777" w:rsidTr="001F7ECA">
        <w:trPr>
          <w:trHeight w:val="268"/>
        </w:trPr>
        <w:tc>
          <w:tcPr>
            <w:tcW w:w="1903" w:type="pct"/>
            <w:vMerge/>
            <w:tcBorders>
              <w:top w:val="single" w:sz="4" w:space="0" w:color="auto"/>
              <w:left w:val="single" w:sz="4" w:space="0" w:color="auto"/>
              <w:bottom w:val="single" w:sz="4" w:space="0" w:color="auto"/>
              <w:right w:val="single" w:sz="4" w:space="0" w:color="auto"/>
            </w:tcBorders>
            <w:vAlign w:val="center"/>
            <w:hideMark/>
          </w:tcPr>
          <w:p w14:paraId="72638AFD" w14:textId="77777777" w:rsidR="00F652C9" w:rsidRPr="00B91524" w:rsidRDefault="00F652C9" w:rsidP="00F652C9">
            <w:pPr>
              <w:spacing w:after="0"/>
              <w:rPr>
                <w:rFonts w:cs="Arial"/>
                <w:color w:val="000000"/>
                <w:sz w:val="18"/>
                <w:szCs w:val="18"/>
                <w:lang w:eastAsia="en-GB"/>
              </w:rPr>
            </w:pPr>
          </w:p>
        </w:tc>
        <w:tc>
          <w:tcPr>
            <w:tcW w:w="3097" w:type="pct"/>
            <w:tcBorders>
              <w:left w:val="single" w:sz="4" w:space="0" w:color="auto"/>
              <w:right w:val="single" w:sz="4" w:space="0" w:color="auto"/>
            </w:tcBorders>
            <w:shd w:val="clear" w:color="000000" w:fill="C4D7F0"/>
            <w:vAlign w:val="center"/>
            <w:hideMark/>
          </w:tcPr>
          <w:p w14:paraId="6FD7FB8D" w14:textId="77777777" w:rsidR="00F652C9" w:rsidRPr="00B91524" w:rsidRDefault="00F652C9" w:rsidP="00F652C9">
            <w:pPr>
              <w:spacing w:after="0"/>
              <w:ind w:firstLineChars="200" w:firstLine="360"/>
              <w:rPr>
                <w:rFonts w:ascii="Calibri" w:hAnsi="Calibri" w:cs="Calibri"/>
                <w:color w:val="000000"/>
                <w:sz w:val="18"/>
                <w:szCs w:val="18"/>
                <w:lang w:eastAsia="en-GB"/>
              </w:rPr>
            </w:pPr>
            <w:r w:rsidRPr="00B91524">
              <w:rPr>
                <w:rFonts w:ascii="Calibri" w:hAnsi="Calibri" w:cs="Calibri"/>
                <w:color w:val="000000"/>
                <w:sz w:val="18"/>
                <w:szCs w:val="18"/>
                <w:lang w:eastAsia="en-GB"/>
              </w:rPr>
              <w:t>-</w:t>
            </w:r>
            <w:r w:rsidRPr="00B91524">
              <w:rPr>
                <w:rFonts w:ascii="Times New Roman" w:hAnsi="Times New Roman"/>
                <w:color w:val="000000"/>
                <w:sz w:val="14"/>
                <w:szCs w:val="14"/>
                <w:lang w:eastAsia="en-GB"/>
              </w:rPr>
              <w:t xml:space="preserve">          </w:t>
            </w:r>
            <w:r w:rsidRPr="00B91524">
              <w:rPr>
                <w:rFonts w:cs="Arial"/>
                <w:color w:val="000000"/>
                <w:sz w:val="18"/>
                <w:szCs w:val="18"/>
                <w:lang w:eastAsia="en-GB"/>
              </w:rPr>
              <w:t>Grab sample photographs</w:t>
            </w:r>
          </w:p>
        </w:tc>
      </w:tr>
      <w:tr w:rsidR="00F652C9" w:rsidRPr="00B91524" w14:paraId="62BAFB1F" w14:textId="77777777" w:rsidTr="001F7ECA">
        <w:trPr>
          <w:trHeight w:val="281"/>
        </w:trPr>
        <w:tc>
          <w:tcPr>
            <w:tcW w:w="1903" w:type="pct"/>
            <w:vMerge/>
            <w:tcBorders>
              <w:top w:val="single" w:sz="4" w:space="0" w:color="auto"/>
              <w:left w:val="single" w:sz="4" w:space="0" w:color="auto"/>
              <w:bottom w:val="single" w:sz="4" w:space="0" w:color="auto"/>
              <w:right w:val="single" w:sz="4" w:space="0" w:color="auto"/>
            </w:tcBorders>
            <w:vAlign w:val="center"/>
            <w:hideMark/>
          </w:tcPr>
          <w:p w14:paraId="0F46CEA0" w14:textId="77777777" w:rsidR="00F652C9" w:rsidRPr="00B91524" w:rsidRDefault="00F652C9" w:rsidP="00F652C9">
            <w:pPr>
              <w:spacing w:after="0"/>
              <w:rPr>
                <w:rFonts w:cs="Arial"/>
                <w:color w:val="000000"/>
                <w:sz w:val="18"/>
                <w:szCs w:val="18"/>
                <w:lang w:eastAsia="en-GB"/>
              </w:rPr>
            </w:pPr>
          </w:p>
        </w:tc>
        <w:tc>
          <w:tcPr>
            <w:tcW w:w="3097" w:type="pct"/>
            <w:tcBorders>
              <w:left w:val="single" w:sz="4" w:space="0" w:color="auto"/>
              <w:bottom w:val="single" w:sz="4" w:space="0" w:color="auto"/>
              <w:right w:val="single" w:sz="4" w:space="0" w:color="auto"/>
            </w:tcBorders>
            <w:shd w:val="clear" w:color="000000" w:fill="C4D7F0"/>
            <w:vAlign w:val="center"/>
            <w:hideMark/>
          </w:tcPr>
          <w:p w14:paraId="2A719702" w14:textId="77777777" w:rsidR="00F652C9" w:rsidRPr="00B91524" w:rsidRDefault="00F652C9" w:rsidP="00F652C9">
            <w:pPr>
              <w:spacing w:after="0"/>
              <w:ind w:firstLineChars="200" w:firstLine="360"/>
              <w:rPr>
                <w:rFonts w:ascii="Calibri" w:hAnsi="Calibri" w:cs="Calibri"/>
                <w:color w:val="000000"/>
                <w:sz w:val="18"/>
                <w:szCs w:val="18"/>
                <w:lang w:eastAsia="en-GB"/>
              </w:rPr>
            </w:pPr>
            <w:r w:rsidRPr="00B91524">
              <w:rPr>
                <w:rFonts w:ascii="Calibri" w:hAnsi="Calibri" w:cs="Calibri"/>
                <w:color w:val="000000"/>
                <w:sz w:val="18"/>
                <w:szCs w:val="18"/>
                <w:lang w:eastAsia="en-GB"/>
              </w:rPr>
              <w:t>-</w:t>
            </w:r>
            <w:r w:rsidRPr="00B91524">
              <w:rPr>
                <w:rFonts w:ascii="Times New Roman" w:hAnsi="Times New Roman"/>
                <w:color w:val="000000"/>
                <w:sz w:val="14"/>
                <w:szCs w:val="14"/>
                <w:lang w:eastAsia="en-GB"/>
              </w:rPr>
              <w:t xml:space="preserve">          </w:t>
            </w:r>
            <w:r w:rsidRPr="00B91524">
              <w:rPr>
                <w:rFonts w:cs="Arial"/>
                <w:color w:val="000000"/>
                <w:sz w:val="18"/>
                <w:szCs w:val="18"/>
                <w:lang w:eastAsia="en-GB"/>
              </w:rPr>
              <w:t>Seabed imagery examples</w:t>
            </w:r>
          </w:p>
        </w:tc>
      </w:tr>
    </w:tbl>
    <w:p w14:paraId="70E1AB9E" w14:textId="77777777" w:rsidR="00350D71" w:rsidRPr="00B91524" w:rsidRDefault="00350D71" w:rsidP="007908D8">
      <w:pPr>
        <w:pStyle w:val="Reportbodytextnumbering"/>
        <w:numPr>
          <w:ilvl w:val="0"/>
          <w:numId w:val="0"/>
        </w:numPr>
      </w:pPr>
    </w:p>
    <w:p w14:paraId="6E17768C" w14:textId="77777777" w:rsidR="00FC1861" w:rsidRPr="00B91524" w:rsidRDefault="00FC1861" w:rsidP="007908D8">
      <w:pPr>
        <w:pStyle w:val="Reportbodytextnumbering"/>
        <w:numPr>
          <w:ilvl w:val="0"/>
          <w:numId w:val="0"/>
        </w:numPr>
        <w:ind w:left="710"/>
        <w:sectPr w:rsidR="00FC1861" w:rsidRPr="00B91524">
          <w:headerReference w:type="default" r:id="rId26"/>
          <w:pgSz w:w="11906" w:h="16838"/>
          <w:pgMar w:top="1440" w:right="1440" w:bottom="1440" w:left="1440" w:header="709" w:footer="709" w:gutter="0"/>
          <w:cols w:space="720"/>
        </w:sectPr>
      </w:pPr>
    </w:p>
    <w:p w14:paraId="6F46B451" w14:textId="77777777" w:rsidR="00D66ACD" w:rsidRPr="00B91524" w:rsidRDefault="00D66ACD" w:rsidP="00D63D9D">
      <w:pPr>
        <w:pStyle w:val="Heading1"/>
        <w:rPr>
          <w:color w:val="1F497D" w:themeColor="text2"/>
        </w:rPr>
      </w:pPr>
      <w:bookmarkStart w:id="112" w:name="_Toc40648451"/>
      <w:bookmarkStart w:id="113" w:name="_Toc74670344"/>
      <w:r w:rsidRPr="00B91524">
        <w:rPr>
          <w:color w:val="1F497D" w:themeColor="text2"/>
        </w:rPr>
        <w:lastRenderedPageBreak/>
        <w:t>References</w:t>
      </w:r>
      <w:bookmarkEnd w:id="112"/>
      <w:bookmarkEnd w:id="113"/>
    </w:p>
    <w:p w14:paraId="43448EB2" w14:textId="47056BB7" w:rsidR="00D66ACD" w:rsidRPr="00B91524" w:rsidRDefault="00D66ACD" w:rsidP="00D63D9D">
      <w:pPr>
        <w:contextualSpacing/>
        <w:rPr>
          <w:lang w:val="en-US"/>
        </w:rPr>
      </w:pPr>
      <w:r w:rsidRPr="00B91524">
        <w:rPr>
          <w:lang w:val="en-US"/>
        </w:rPr>
        <w:t>Cooper, K., Mason, C. (202</w:t>
      </w:r>
      <w:r w:rsidR="001B618A" w:rsidRPr="00B91524">
        <w:rPr>
          <w:lang w:val="en-US"/>
        </w:rPr>
        <w:t>0</w:t>
      </w:r>
      <w:r w:rsidRPr="00B91524">
        <w:rPr>
          <w:lang w:val="en-US"/>
        </w:rPr>
        <w:t xml:space="preserve">). Regional Seabed Monitoring </w:t>
      </w:r>
      <w:proofErr w:type="spellStart"/>
      <w:r w:rsidRPr="00B91524">
        <w:rPr>
          <w:lang w:val="en-US"/>
        </w:rPr>
        <w:t>Programme</w:t>
      </w:r>
      <w:proofErr w:type="spellEnd"/>
      <w:r w:rsidRPr="00B91524">
        <w:rPr>
          <w:lang w:val="en-US"/>
        </w:rPr>
        <w:t xml:space="preserve"> (RSMP) Protocol for Sample Collection and Processing (Version 8.0). </w:t>
      </w:r>
      <w:proofErr w:type="spellStart"/>
      <w:r w:rsidRPr="00B91524">
        <w:rPr>
          <w:lang w:val="en-US"/>
        </w:rPr>
        <w:t>Cefas</w:t>
      </w:r>
      <w:proofErr w:type="spellEnd"/>
      <w:r w:rsidRPr="00B91524">
        <w:rPr>
          <w:lang w:val="en-US"/>
        </w:rPr>
        <w:t>.</w:t>
      </w:r>
    </w:p>
    <w:p w14:paraId="36022A31" w14:textId="0C19640F" w:rsidR="00D058D6" w:rsidRPr="00B91524" w:rsidRDefault="00D058D6" w:rsidP="00D63D9D">
      <w:pPr>
        <w:contextualSpacing/>
        <w:rPr>
          <w:lang w:val="en-US"/>
        </w:rPr>
      </w:pPr>
    </w:p>
    <w:p w14:paraId="45204726" w14:textId="78FE4B95" w:rsidR="00D058D6" w:rsidRPr="00B91524" w:rsidRDefault="00D058D6" w:rsidP="00D63D9D">
      <w:pPr>
        <w:contextualSpacing/>
        <w:rPr>
          <w:lang w:val="en-US"/>
        </w:rPr>
      </w:pPr>
      <w:r w:rsidRPr="00B91524">
        <w:rPr>
          <w:lang w:val="en-US"/>
        </w:rPr>
        <w:t>Department for Communities and Local Government. 2014. Available at: http://planningguidance.planningportal.gov.uk/blog/guidance/use-of-planning-conditions/application-of-the-six-tests-in-nppf-policy/ [Accessed 24 April 2014].</w:t>
      </w:r>
    </w:p>
    <w:p w14:paraId="382316E2" w14:textId="77777777" w:rsidR="00D66ACD" w:rsidRPr="00B91524" w:rsidRDefault="00D66ACD" w:rsidP="00D63D9D">
      <w:pPr>
        <w:contextualSpacing/>
        <w:rPr>
          <w:lang w:val="en-US"/>
        </w:rPr>
      </w:pPr>
    </w:p>
    <w:p w14:paraId="3531BC3C" w14:textId="77777777" w:rsidR="00D66ACD" w:rsidRPr="00B91524" w:rsidRDefault="00D66ACD" w:rsidP="00D63D9D">
      <w:pPr>
        <w:contextualSpacing/>
        <w:rPr>
          <w:lang w:val="en-US"/>
        </w:rPr>
      </w:pPr>
      <w:proofErr w:type="spellStart"/>
      <w:r w:rsidRPr="00B91524">
        <w:rPr>
          <w:lang w:val="en-US"/>
        </w:rPr>
        <w:t>Diesing</w:t>
      </w:r>
      <w:proofErr w:type="spellEnd"/>
      <w:r w:rsidRPr="00B91524">
        <w:rPr>
          <w:lang w:val="en-US"/>
        </w:rPr>
        <w:t xml:space="preserve">, M., Ware, S., Foster-Smith, R., Stewart, H., Long, D., </w:t>
      </w:r>
      <w:proofErr w:type="spellStart"/>
      <w:r w:rsidRPr="00B91524">
        <w:rPr>
          <w:lang w:val="en-US"/>
        </w:rPr>
        <w:t>Vanstaen</w:t>
      </w:r>
      <w:proofErr w:type="spellEnd"/>
      <w:r w:rsidRPr="00B91524">
        <w:rPr>
          <w:lang w:val="en-US"/>
        </w:rPr>
        <w:t>, K., Forster, R. &amp; Morando, A. (2009). Understanding the marine environment – seabed habitat investigations of the Dogger Bank offshore draft SAC. Joint Nature Conservation Committee, Peterborough. JNCC Report No. 429. JNCC, Peterborough.</w:t>
      </w:r>
    </w:p>
    <w:p w14:paraId="0CF76258" w14:textId="77777777" w:rsidR="00D66ACD" w:rsidRPr="00B91524" w:rsidRDefault="00D66ACD" w:rsidP="00D63D9D">
      <w:pPr>
        <w:contextualSpacing/>
      </w:pPr>
    </w:p>
    <w:p w14:paraId="3685A9C2" w14:textId="1DA3A9DC" w:rsidR="00D66ACD" w:rsidRPr="00B91524" w:rsidRDefault="00D66ACD" w:rsidP="00D63D9D">
      <w:pPr>
        <w:contextualSpacing/>
      </w:pPr>
      <w:proofErr w:type="spellStart"/>
      <w:r w:rsidRPr="00B91524">
        <w:t>Forewind</w:t>
      </w:r>
      <w:proofErr w:type="spellEnd"/>
      <w:r w:rsidRPr="00B91524">
        <w:t xml:space="preserve"> (2014) Dogger Bank Teesside A &amp; B Environmental Statement – Marine and Intertidal Ecology and relevant appendices (Appendix 9A Marine Physical Processes Assessment of Effects Technical Report; Appendix 12A Tranche B and Export Cable Corridor Benthic Survey Report; Appendix 12B Tranche A Benthic Survey Report; Appendix 12C Intertidal Benthic Survey Report; Ap Appendix 12D Tranche B Habitat Mapping Report; Appendix 12E Value Ecological Receptor (VER) Tables; and Appendix 12F Disposal Site Characterisation Document.</w:t>
      </w:r>
    </w:p>
    <w:p w14:paraId="40CE36B7" w14:textId="77777777" w:rsidR="00D66ACD" w:rsidRPr="00B91524" w:rsidRDefault="00D66ACD" w:rsidP="00D63D9D">
      <w:pPr>
        <w:contextualSpacing/>
      </w:pPr>
    </w:p>
    <w:p w14:paraId="4215F002" w14:textId="63575016" w:rsidR="00D66ACD" w:rsidRPr="00B91524" w:rsidRDefault="00D66ACD" w:rsidP="00D63D9D">
      <w:pPr>
        <w:contextualSpacing/>
      </w:pPr>
      <w:proofErr w:type="spellStart"/>
      <w:r w:rsidRPr="00B91524">
        <w:t>Forewind</w:t>
      </w:r>
      <w:proofErr w:type="spellEnd"/>
      <w:r w:rsidRPr="00B91524">
        <w:t xml:space="preserve"> (2015) Dogger Bank Deadline IX Appendix 4 Offshore In Principle Monitoring Plan</w:t>
      </w:r>
    </w:p>
    <w:p w14:paraId="27A8353C" w14:textId="77777777" w:rsidR="004476F9" w:rsidRPr="00B91524" w:rsidRDefault="004476F9" w:rsidP="00D63D9D">
      <w:pPr>
        <w:contextualSpacing/>
      </w:pPr>
    </w:p>
    <w:p w14:paraId="0A91BEB3" w14:textId="77777777" w:rsidR="004476F9" w:rsidRPr="00B91524" w:rsidRDefault="004476F9" w:rsidP="004476F9">
      <w:pPr>
        <w:contextualSpacing/>
      </w:pPr>
      <w:r w:rsidRPr="00B91524">
        <w:t xml:space="preserve">Griffin, R. ., Robinson, G. ., West, A., </w:t>
      </w:r>
      <w:proofErr w:type="spellStart"/>
      <w:r w:rsidRPr="00B91524">
        <w:t>Gloyne</w:t>
      </w:r>
      <w:proofErr w:type="spellEnd"/>
      <w:r w:rsidRPr="00B91524">
        <w:t>-Phillips, I. ., &amp; Unsworth, R. F. . (2016). Assessing Fish and Motile Fauna around Offshore Windfarms Using Stereo Baited Video. PLOS ONE, 11(3), e0149701. https://doi.org/10.1371/journal.pone.0149701</w:t>
      </w:r>
    </w:p>
    <w:p w14:paraId="5EA55B49" w14:textId="77777777" w:rsidR="00D66ACD" w:rsidRPr="00B91524" w:rsidRDefault="00D66ACD" w:rsidP="00D63D9D">
      <w:pPr>
        <w:contextualSpacing/>
      </w:pPr>
    </w:p>
    <w:p w14:paraId="5053F135" w14:textId="095CC2FE" w:rsidR="00D66ACD" w:rsidRPr="00B91524" w:rsidRDefault="00D66ACD" w:rsidP="00D63D9D">
      <w:pPr>
        <w:contextualSpacing/>
      </w:pPr>
      <w:r w:rsidRPr="00B91524">
        <w:t xml:space="preserve">Gubbay S (2007) Defining and managing </w:t>
      </w:r>
      <w:proofErr w:type="spellStart"/>
      <w:r w:rsidRPr="00B91524">
        <w:t>Sabellaria</w:t>
      </w:r>
      <w:proofErr w:type="spellEnd"/>
      <w:r w:rsidRPr="00B91524">
        <w:t xml:space="preserve"> spinulosa reefs: Report of an inter-agency workshop 1-2 May, 2007. JNCC Rep No405 44:22</w:t>
      </w:r>
    </w:p>
    <w:p w14:paraId="46B12F37" w14:textId="166D1984" w:rsidR="004476F9" w:rsidRPr="00B91524" w:rsidRDefault="004476F9" w:rsidP="00D63D9D">
      <w:pPr>
        <w:contextualSpacing/>
      </w:pPr>
    </w:p>
    <w:p w14:paraId="154CA904" w14:textId="77777777" w:rsidR="004476F9" w:rsidRPr="00B91524" w:rsidRDefault="004476F9" w:rsidP="004476F9">
      <w:r w:rsidRPr="00B91524">
        <w:t xml:space="preserve">Hitchin, R., Turner, J., &amp; </w:t>
      </w:r>
      <w:proofErr w:type="spellStart"/>
      <w:r w:rsidRPr="00B91524">
        <w:t>Verling</w:t>
      </w:r>
      <w:proofErr w:type="spellEnd"/>
      <w:r w:rsidRPr="00B91524">
        <w:t>, E. (2015). Epibiota Remote Monitoring from Digital Imagery: Operational Guidelines. NMBAQC and JNCC. http://www.nmbaqcs.org/media/1591/epibiota_operational_guidelines_final.pdf</w:t>
      </w:r>
    </w:p>
    <w:p w14:paraId="3F595253" w14:textId="77777777" w:rsidR="00D66ACD" w:rsidRPr="00B91524" w:rsidRDefault="00D66ACD" w:rsidP="00D63D9D">
      <w:pPr>
        <w:contextualSpacing/>
        <w:rPr>
          <w:lang w:val="en-US"/>
        </w:rPr>
      </w:pPr>
    </w:p>
    <w:p w14:paraId="60B80C59" w14:textId="77777777" w:rsidR="00D66ACD" w:rsidRPr="00B91524" w:rsidRDefault="00D66ACD" w:rsidP="00D63D9D">
      <w:pPr>
        <w:contextualSpacing/>
        <w:rPr>
          <w:lang w:val="en-US"/>
        </w:rPr>
      </w:pPr>
      <w:r w:rsidRPr="00B91524">
        <w:t>Irving R (2009) The identification of the main characteristics of stony reef habitats under the Habitats Directive. Summary report of an inter-agency workshop 26-27 March 2008. JNCC Rep No 432:44.</w:t>
      </w:r>
    </w:p>
    <w:p w14:paraId="0FBE9624" w14:textId="77777777" w:rsidR="00D66ACD" w:rsidRPr="00B91524" w:rsidRDefault="00D66ACD" w:rsidP="00D63D9D">
      <w:pPr>
        <w:contextualSpacing/>
      </w:pPr>
    </w:p>
    <w:p w14:paraId="1D929475" w14:textId="77777777" w:rsidR="00D66ACD" w:rsidRPr="00B91524" w:rsidRDefault="00D66ACD" w:rsidP="00D63D9D">
      <w:pPr>
        <w:contextualSpacing/>
      </w:pPr>
      <w:r w:rsidRPr="00B91524">
        <w:t>JNCC (2014) Dogger Bank SCI 2014 Monitoring R&amp;D Survey Report. 162 pp.</w:t>
      </w:r>
    </w:p>
    <w:p w14:paraId="1B561AE2" w14:textId="77777777" w:rsidR="00D66ACD" w:rsidRPr="00B91524" w:rsidRDefault="00D66ACD" w:rsidP="00D63D9D">
      <w:pPr>
        <w:contextualSpacing/>
      </w:pPr>
    </w:p>
    <w:p w14:paraId="5152036D" w14:textId="77777777" w:rsidR="00D66ACD" w:rsidRPr="00B91524" w:rsidRDefault="00D66ACD" w:rsidP="00D63D9D">
      <w:pPr>
        <w:contextualSpacing/>
      </w:pPr>
      <w:r w:rsidRPr="00B91524">
        <w:t>JNCC (2015) Dogger Bank SCI Monitoring Survey – CEND 10/14 Cruise Report. 218 pp.</w:t>
      </w:r>
    </w:p>
    <w:p w14:paraId="525A56B2" w14:textId="77777777" w:rsidR="00D66ACD" w:rsidRPr="00B91524" w:rsidRDefault="00D66ACD" w:rsidP="00D63D9D">
      <w:pPr>
        <w:contextualSpacing/>
      </w:pPr>
    </w:p>
    <w:p w14:paraId="5BF64D15" w14:textId="7831FCC4" w:rsidR="00D66ACD" w:rsidRPr="00B91524" w:rsidRDefault="00D66ACD" w:rsidP="00D63D9D">
      <w:pPr>
        <w:contextualSpacing/>
      </w:pPr>
      <w:r w:rsidRPr="00B91524">
        <w:t>JNCC (2018) Supplementary Advice on Conservation Objectives for Dogger Bank Special Area of Conservation. 28 pp.</w:t>
      </w:r>
    </w:p>
    <w:p w14:paraId="08D8B182" w14:textId="77777777" w:rsidR="004476F9" w:rsidRPr="00B91524" w:rsidRDefault="004476F9" w:rsidP="004476F9">
      <w:pPr>
        <w:contextualSpacing/>
      </w:pPr>
      <w:r w:rsidRPr="00B91524">
        <w:t xml:space="preserve">Jones, R. E., Griffin, R. A., </w:t>
      </w:r>
      <w:proofErr w:type="spellStart"/>
      <w:r w:rsidRPr="00B91524">
        <w:t>Januchowski</w:t>
      </w:r>
      <w:proofErr w:type="spellEnd"/>
      <w:r w:rsidRPr="00B91524">
        <w:t xml:space="preserve">-Hartley, S. R., &amp; Unsworth, R. K. F. (2020). The influence of bait on remote underwater video observations in shallow-water coastal environments associated with the North-Eastern </w:t>
      </w:r>
      <w:proofErr w:type="spellStart"/>
      <w:r w:rsidRPr="00B91524">
        <w:t>atlantic</w:t>
      </w:r>
      <w:proofErr w:type="spellEnd"/>
      <w:r w:rsidRPr="00B91524">
        <w:t xml:space="preserve">. </w:t>
      </w:r>
      <w:proofErr w:type="spellStart"/>
      <w:r w:rsidRPr="00B91524">
        <w:t>PeerJ</w:t>
      </w:r>
      <w:proofErr w:type="spellEnd"/>
      <w:r w:rsidRPr="00B91524">
        <w:t>, 8(August). https://doi.org/10.7717/peerj.9744</w:t>
      </w:r>
    </w:p>
    <w:p w14:paraId="1E5DA03B" w14:textId="77777777" w:rsidR="004476F9" w:rsidRPr="00B91524" w:rsidRDefault="004476F9" w:rsidP="00D63D9D">
      <w:pPr>
        <w:contextualSpacing/>
      </w:pPr>
    </w:p>
    <w:p w14:paraId="12F817F1" w14:textId="77777777" w:rsidR="00D66ACD" w:rsidRPr="00B91524" w:rsidRDefault="00D66ACD" w:rsidP="00D63D9D">
      <w:pPr>
        <w:contextualSpacing/>
      </w:pPr>
      <w:proofErr w:type="spellStart"/>
      <w:r w:rsidRPr="00B91524">
        <w:lastRenderedPageBreak/>
        <w:t>Langenkämper</w:t>
      </w:r>
      <w:proofErr w:type="spellEnd"/>
      <w:r w:rsidRPr="00B91524">
        <w:t xml:space="preserve"> D, </w:t>
      </w:r>
      <w:proofErr w:type="spellStart"/>
      <w:r w:rsidRPr="00B91524">
        <w:t>Zurowietz</w:t>
      </w:r>
      <w:proofErr w:type="spellEnd"/>
      <w:r w:rsidRPr="00B91524">
        <w:t xml:space="preserve"> M, Schoening T, </w:t>
      </w:r>
      <w:proofErr w:type="spellStart"/>
      <w:r w:rsidRPr="00B91524">
        <w:t>Nattkemper</w:t>
      </w:r>
      <w:proofErr w:type="spellEnd"/>
      <w:r w:rsidRPr="00B91524">
        <w:t xml:space="preserve"> TW (2017) BIIGLE 2.0 - Browsing and Annotating Large Marine Image Collections. Front Mar Sci 4:83.</w:t>
      </w:r>
    </w:p>
    <w:p w14:paraId="52BB2EF3" w14:textId="77777777" w:rsidR="00D66ACD" w:rsidRPr="00B91524" w:rsidRDefault="00D66ACD" w:rsidP="00D63D9D">
      <w:pPr>
        <w:contextualSpacing/>
      </w:pPr>
    </w:p>
    <w:p w14:paraId="7204F52B" w14:textId="77777777" w:rsidR="00D66ACD" w:rsidRPr="00B91524" w:rsidRDefault="00D66ACD" w:rsidP="00D63D9D">
      <w:pPr>
        <w:contextualSpacing/>
      </w:pPr>
      <w:r w:rsidRPr="00B91524">
        <w:t>Mason C (2016) NMBAQC’s Best Practice Guidance - Particle Size Analysis (PSA) for Supporting Biological Analysis.</w:t>
      </w:r>
    </w:p>
    <w:p w14:paraId="433E6B1B" w14:textId="77777777" w:rsidR="00D66ACD" w:rsidRPr="00B91524" w:rsidRDefault="00D66ACD" w:rsidP="00D63D9D">
      <w:pPr>
        <w:contextualSpacing/>
      </w:pPr>
    </w:p>
    <w:p w14:paraId="6F8D81FB" w14:textId="0330DF5A" w:rsidR="00D40A2F" w:rsidRPr="00B91524" w:rsidRDefault="00D40A2F" w:rsidP="00D40A2F">
      <w:pPr>
        <w:contextualSpacing/>
      </w:pPr>
      <w:r w:rsidRPr="00B91524">
        <w:t xml:space="preserve">MMO (2014a). Review of post-consent offshore wind farm monitoring data associated with licence conditions. A report produced for the Marine Management Organisation, pp 194. MMO Project No: 1031. ISBN: 978-1-909452-24-4. </w:t>
      </w:r>
    </w:p>
    <w:p w14:paraId="1FF4BDF0" w14:textId="77777777" w:rsidR="00D40A2F" w:rsidRPr="00B91524" w:rsidRDefault="00D40A2F" w:rsidP="00D40A2F">
      <w:pPr>
        <w:contextualSpacing/>
      </w:pPr>
    </w:p>
    <w:p w14:paraId="7F911DD0" w14:textId="5D805975" w:rsidR="00D40A2F" w:rsidRPr="00B91524" w:rsidRDefault="00D40A2F" w:rsidP="00D40A2F">
      <w:pPr>
        <w:contextualSpacing/>
      </w:pPr>
      <w:r w:rsidRPr="00B91524">
        <w:t>MMO (2014b). The Marine Management Organisation (MMO) Response to an Independent Review of Environmental Data Collected at UK and European Offshore Wind Farm and 22 Recommendations for Future Post-Consent Monitoring. Available at: https://www.gov.uk/government/uploads/system/uploads/attachment_data/file/389392/MMO_response_to_independent_OWF_PCM.pdf.</w:t>
      </w:r>
    </w:p>
    <w:p w14:paraId="14334DB1" w14:textId="77777777" w:rsidR="00D66ACD" w:rsidRPr="00B91524" w:rsidRDefault="00D66ACD" w:rsidP="00D63D9D">
      <w:pPr>
        <w:contextualSpacing/>
      </w:pPr>
    </w:p>
    <w:p w14:paraId="0BAC1BE9" w14:textId="70963A54" w:rsidR="00D66ACD" w:rsidRPr="00B91524" w:rsidRDefault="00D66ACD" w:rsidP="00D63D9D">
      <w:pPr>
        <w:contextualSpacing/>
      </w:pPr>
      <w:r w:rsidRPr="00B91524">
        <w:t>Parry ME V (2019) Guidance on Assigning Benthic Biotopes using EUNIS or the Marine Habitat Classification of Britain and Ireland.</w:t>
      </w:r>
    </w:p>
    <w:p w14:paraId="64B76BEB" w14:textId="77777777" w:rsidR="00D66ACD" w:rsidRPr="00B91524" w:rsidRDefault="00D66ACD" w:rsidP="00D63D9D">
      <w:pPr>
        <w:contextualSpacing/>
      </w:pPr>
    </w:p>
    <w:p w14:paraId="6BB41200" w14:textId="1498A81A" w:rsidR="00D66ACD" w:rsidRPr="00B91524" w:rsidRDefault="00D66ACD" w:rsidP="00D63D9D">
      <w:pPr>
        <w:contextualSpacing/>
      </w:pPr>
      <w:r w:rsidRPr="00B91524">
        <w:t>SOWFL (2019</w:t>
      </w:r>
      <w:r w:rsidR="00825667" w:rsidRPr="00B91524">
        <w:t>a</w:t>
      </w:r>
      <w:r w:rsidRPr="00B91524">
        <w:t>) Detailed Construction and Monitoring Programme: Geophysical (Bathymetrical) Monitoring Plan. Version 04.</w:t>
      </w:r>
    </w:p>
    <w:p w14:paraId="3F75996E" w14:textId="1D8BDC57" w:rsidR="00825667" w:rsidRPr="00B91524" w:rsidRDefault="00825667" w:rsidP="00D63D9D">
      <w:pPr>
        <w:contextualSpacing/>
      </w:pPr>
    </w:p>
    <w:p w14:paraId="354EB630" w14:textId="2A5D8F4A" w:rsidR="00B74D0C" w:rsidRPr="00B91524" w:rsidRDefault="00B74D0C" w:rsidP="00B74D0C">
      <w:pPr>
        <w:contextualSpacing/>
      </w:pPr>
      <w:r w:rsidRPr="00B91524">
        <w:t>SOWFL (2019b) Sofia Offshore Wind Farm: Benthic Monitoring Plan: Supporting Studies</w:t>
      </w:r>
    </w:p>
    <w:p w14:paraId="06B43BCD" w14:textId="77777777" w:rsidR="00B74D0C" w:rsidRPr="00B91524" w:rsidRDefault="00B74D0C" w:rsidP="00825667">
      <w:pPr>
        <w:contextualSpacing/>
      </w:pPr>
    </w:p>
    <w:p w14:paraId="1990C51B" w14:textId="30FA2041" w:rsidR="00825667" w:rsidRPr="00B91524" w:rsidRDefault="00825667" w:rsidP="00825667">
      <w:pPr>
        <w:contextualSpacing/>
      </w:pPr>
      <w:r w:rsidRPr="00B91524">
        <w:t>SOWFL (2019</w:t>
      </w:r>
      <w:r w:rsidR="00B74D0C" w:rsidRPr="00B91524">
        <w:t>c</w:t>
      </w:r>
      <w:r w:rsidRPr="00B91524">
        <w:t>) Sofia Offshore Wind Farm: Sofia Offshore Wind Farm: Project Update Meeting with Natural England: 20th August 2019: Benthic Note</w:t>
      </w:r>
    </w:p>
    <w:p w14:paraId="3560C0D4" w14:textId="77777777" w:rsidR="00825667" w:rsidRPr="00B91524" w:rsidRDefault="00825667" w:rsidP="00D63D9D">
      <w:pPr>
        <w:contextualSpacing/>
      </w:pPr>
    </w:p>
    <w:p w14:paraId="4ACA9209" w14:textId="5F167AA3" w:rsidR="00D66ACD" w:rsidRPr="00B91524" w:rsidRDefault="00D66ACD" w:rsidP="00D63D9D">
      <w:pPr>
        <w:contextualSpacing/>
      </w:pPr>
      <w:r w:rsidRPr="00B91524">
        <w:t xml:space="preserve">Turner J.A., Hitchin R., </w:t>
      </w:r>
      <w:proofErr w:type="spellStart"/>
      <w:r w:rsidRPr="00B91524">
        <w:t>Verling</w:t>
      </w:r>
      <w:proofErr w:type="spellEnd"/>
      <w:r w:rsidRPr="00B91524">
        <w:t xml:space="preserve"> E., Rein H. van. (2016) Epibiota remote monitoring from digital imagery: Interpretation guidelines. JNCC</w:t>
      </w:r>
    </w:p>
    <w:p w14:paraId="7C6BAC3B" w14:textId="49BB5EA6" w:rsidR="004476F9" w:rsidRPr="00B91524" w:rsidRDefault="004476F9" w:rsidP="00D63D9D">
      <w:pPr>
        <w:contextualSpacing/>
      </w:pPr>
    </w:p>
    <w:p w14:paraId="6EBA1C85" w14:textId="77777777" w:rsidR="004476F9" w:rsidRPr="00B91524" w:rsidRDefault="004476F9" w:rsidP="004476F9">
      <w:pPr>
        <w:contextualSpacing/>
      </w:pPr>
      <w:r w:rsidRPr="00B91524">
        <w:t>Unsworth, R. K. F., Peters, J. R., McCloskey, R. M., &amp; Hinder, S. L. (2014). Optimising stereo baited underwater video for sampling fish and invertebrates in temperate coastal habitats. Estuarine, Coastal and Shelf Science, 150(PB), 281–287. https://doi.org/10.1016/j.ecss.2014.03.020</w:t>
      </w:r>
    </w:p>
    <w:p w14:paraId="342AF307" w14:textId="77777777" w:rsidR="004476F9" w:rsidRPr="00B91524" w:rsidRDefault="004476F9" w:rsidP="00D63D9D">
      <w:pPr>
        <w:contextualSpacing/>
      </w:pPr>
    </w:p>
    <w:p w14:paraId="4145D9F6" w14:textId="77777777" w:rsidR="00D66ACD" w:rsidRPr="00B91524" w:rsidRDefault="00D66ACD" w:rsidP="00D63D9D">
      <w:pPr>
        <w:contextualSpacing/>
      </w:pPr>
      <w:r w:rsidRPr="00B91524">
        <w:t>UK BAP (2008a). UK Biodiversity Action Plan; Priority Habitat Descriptions. BRIG (ed. Ant Maddock) 2008 - Peat and Clay Exposures with Piddocks. Updated 2016.</w:t>
      </w:r>
    </w:p>
    <w:p w14:paraId="2FC797E5" w14:textId="77777777" w:rsidR="00D66ACD" w:rsidRPr="00B91524" w:rsidRDefault="00D66ACD" w:rsidP="00D63D9D">
      <w:pPr>
        <w:contextualSpacing/>
      </w:pPr>
    </w:p>
    <w:p w14:paraId="171B0AC1" w14:textId="77777777" w:rsidR="00D66ACD" w:rsidRPr="00B91524" w:rsidRDefault="00D66ACD" w:rsidP="00D63D9D">
      <w:pPr>
        <w:contextualSpacing/>
      </w:pPr>
      <w:r w:rsidRPr="00B91524">
        <w:t>UK BAP (2008b). UK Biodiversity Action Plan; Priority Habitat Descriptions. BRIG (ed. Ant Maddock) 2008 - Peat and Clay Exposures with Piddocks. Updated 2016.</w:t>
      </w:r>
    </w:p>
    <w:p w14:paraId="03784A6F" w14:textId="77777777" w:rsidR="00D66ACD" w:rsidRPr="00B91524" w:rsidRDefault="00D66ACD" w:rsidP="00D63D9D">
      <w:pPr>
        <w:contextualSpacing/>
      </w:pPr>
    </w:p>
    <w:p w14:paraId="38CC4045" w14:textId="77777777" w:rsidR="00D66ACD" w:rsidRPr="00B91524" w:rsidRDefault="00D66ACD" w:rsidP="00D63D9D">
      <w:pPr>
        <w:contextualSpacing/>
      </w:pPr>
      <w:proofErr w:type="spellStart"/>
      <w:r w:rsidRPr="00B91524">
        <w:t>Worsfold</w:t>
      </w:r>
      <w:proofErr w:type="spellEnd"/>
      <w:r w:rsidRPr="00B91524">
        <w:t xml:space="preserve"> A.T., Hall D. (2010) Guidelines for processing marine </w:t>
      </w:r>
      <w:proofErr w:type="spellStart"/>
      <w:r w:rsidRPr="00B91524">
        <w:t>macrobenthic</w:t>
      </w:r>
      <w:proofErr w:type="spellEnd"/>
      <w:r w:rsidRPr="00B91524">
        <w:t xml:space="preserve"> invertebrate samples: a Processing Requirements Protocol.</w:t>
      </w:r>
    </w:p>
    <w:p w14:paraId="4B224FF1" w14:textId="77777777" w:rsidR="00FC1861" w:rsidRPr="00B91524" w:rsidRDefault="00FC1861" w:rsidP="00D63D9D">
      <w:pPr>
        <w:sectPr w:rsidR="00FC1861" w:rsidRPr="00B91524">
          <w:pgSz w:w="11906" w:h="16838"/>
          <w:pgMar w:top="1440" w:right="1440" w:bottom="1440" w:left="1440" w:header="709" w:footer="709" w:gutter="0"/>
          <w:cols w:space="720"/>
        </w:sectPr>
      </w:pPr>
    </w:p>
    <w:p w14:paraId="7F98AF91" w14:textId="182C3F85" w:rsidR="000502CC" w:rsidRPr="00B91524" w:rsidRDefault="00910169" w:rsidP="00BE32FA">
      <w:pPr>
        <w:pStyle w:val="Appendix"/>
        <w:ind w:left="0" w:firstLine="0"/>
      </w:pPr>
      <w:bookmarkStart w:id="114" w:name="_Toc74670345"/>
      <w:bookmarkStart w:id="115" w:name="_Toc46090242"/>
      <w:r w:rsidRPr="00B91524">
        <w:rPr>
          <w:noProof/>
        </w:rPr>
        <w:lastRenderedPageBreak/>
        <w:drawing>
          <wp:anchor distT="0" distB="0" distL="114300" distR="114300" simplePos="0" relativeHeight="251707903" behindDoc="0" locked="0" layoutInCell="1" allowOverlap="1" wp14:anchorId="60DBDE31" wp14:editId="748D858A">
            <wp:simplePos x="0" y="0"/>
            <wp:positionH relativeFrom="margin">
              <wp:align>center</wp:align>
            </wp:positionH>
            <wp:positionV relativeFrom="paragraph">
              <wp:posOffset>1093107</wp:posOffset>
            </wp:positionV>
            <wp:extent cx="4854782" cy="7448550"/>
            <wp:effectExtent l="0" t="0" r="3175"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extLst>
                        <a:ext uri="{28A0092B-C50C-407E-A947-70E740481C1C}">
                          <a14:useLocalDpi xmlns:a14="http://schemas.microsoft.com/office/drawing/2010/main" val="0"/>
                        </a:ext>
                      </a:extLst>
                    </a:blip>
                    <a:stretch>
                      <a:fillRect/>
                    </a:stretch>
                  </pic:blipFill>
                  <pic:spPr>
                    <a:xfrm>
                      <a:off x="0" y="0"/>
                      <a:ext cx="4854782" cy="7448550"/>
                    </a:xfrm>
                    <a:prstGeom prst="rect">
                      <a:avLst/>
                    </a:prstGeom>
                  </pic:spPr>
                </pic:pic>
              </a:graphicData>
            </a:graphic>
            <wp14:sizeRelH relativeFrom="page">
              <wp14:pctWidth>0</wp14:pctWidth>
            </wp14:sizeRelH>
            <wp14:sizeRelV relativeFrom="page">
              <wp14:pctHeight>0</wp14:pctHeight>
            </wp14:sizeRelV>
          </wp:anchor>
        </w:drawing>
      </w:r>
      <w:r w:rsidRPr="00B91524">
        <w:t>Benthic monitoring objectives for the Dogger Bank SAC set out by Natural England</w:t>
      </w:r>
      <w:bookmarkEnd w:id="114"/>
    </w:p>
    <w:p w14:paraId="5516E3BE" w14:textId="265EA6A8" w:rsidR="000502CC" w:rsidRPr="00B91524" w:rsidRDefault="000502CC" w:rsidP="000502CC">
      <w:pPr>
        <w:pStyle w:val="Reportbodytextnumbering"/>
        <w:numPr>
          <w:ilvl w:val="0"/>
          <w:numId w:val="0"/>
        </w:numPr>
        <w:ind w:left="709" w:hanging="709"/>
        <w:rPr>
          <w:u w:color="3ED8BD" w:themeColor="accent2"/>
        </w:rPr>
      </w:pPr>
    </w:p>
    <w:p w14:paraId="34FD5E23" w14:textId="4FC3AB41" w:rsidR="000502CC" w:rsidRPr="00B91524" w:rsidRDefault="000502CC" w:rsidP="000502CC">
      <w:pPr>
        <w:pStyle w:val="Reportbodytextnumbering"/>
        <w:numPr>
          <w:ilvl w:val="0"/>
          <w:numId w:val="0"/>
        </w:numPr>
        <w:ind w:left="709" w:hanging="709"/>
        <w:rPr>
          <w:u w:color="3ED8BD" w:themeColor="accent2"/>
        </w:rPr>
      </w:pPr>
    </w:p>
    <w:p w14:paraId="67890E12" w14:textId="2395B85E" w:rsidR="000502CC" w:rsidRPr="00B91524" w:rsidRDefault="000502CC" w:rsidP="000502CC">
      <w:pPr>
        <w:pStyle w:val="Reportbodytextnumbering"/>
        <w:numPr>
          <w:ilvl w:val="0"/>
          <w:numId w:val="0"/>
        </w:numPr>
        <w:ind w:left="709" w:hanging="709"/>
        <w:rPr>
          <w:u w:color="3ED8BD" w:themeColor="accent2"/>
        </w:rPr>
      </w:pPr>
    </w:p>
    <w:p w14:paraId="2F82FAF9" w14:textId="2E2BA81C" w:rsidR="000502CC" w:rsidRPr="00B91524" w:rsidRDefault="000502CC" w:rsidP="000502CC">
      <w:pPr>
        <w:pStyle w:val="Reportbodytextnumbering"/>
        <w:numPr>
          <w:ilvl w:val="0"/>
          <w:numId w:val="0"/>
        </w:numPr>
        <w:ind w:left="709" w:hanging="709"/>
        <w:rPr>
          <w:u w:color="3ED8BD" w:themeColor="accent2"/>
        </w:rPr>
      </w:pPr>
    </w:p>
    <w:p w14:paraId="742C8A55" w14:textId="118569AB" w:rsidR="000502CC" w:rsidRPr="00B91524" w:rsidRDefault="000502CC" w:rsidP="000502CC">
      <w:pPr>
        <w:pStyle w:val="Reportbodytextnumbering"/>
        <w:numPr>
          <w:ilvl w:val="0"/>
          <w:numId w:val="0"/>
        </w:numPr>
        <w:ind w:left="709" w:hanging="709"/>
        <w:rPr>
          <w:u w:color="3ED8BD" w:themeColor="accent2"/>
        </w:rPr>
      </w:pPr>
    </w:p>
    <w:p w14:paraId="4633827D" w14:textId="486E5F51" w:rsidR="000502CC" w:rsidRPr="00B91524" w:rsidRDefault="000502CC" w:rsidP="000502CC">
      <w:pPr>
        <w:pStyle w:val="Reportbodytextnumbering"/>
        <w:numPr>
          <w:ilvl w:val="0"/>
          <w:numId w:val="0"/>
        </w:numPr>
        <w:ind w:left="709" w:hanging="709"/>
        <w:rPr>
          <w:u w:color="3ED8BD" w:themeColor="accent2"/>
        </w:rPr>
      </w:pPr>
    </w:p>
    <w:p w14:paraId="4D4B764D" w14:textId="63063393" w:rsidR="000502CC" w:rsidRPr="00B91524" w:rsidRDefault="000502CC" w:rsidP="000502CC">
      <w:pPr>
        <w:pStyle w:val="Reportbodytextnumbering"/>
        <w:numPr>
          <w:ilvl w:val="0"/>
          <w:numId w:val="0"/>
        </w:numPr>
        <w:ind w:left="709" w:hanging="709"/>
        <w:rPr>
          <w:u w:color="3ED8BD" w:themeColor="accent2"/>
        </w:rPr>
      </w:pPr>
    </w:p>
    <w:p w14:paraId="7FF572CD" w14:textId="064231F7" w:rsidR="000502CC" w:rsidRPr="00B91524" w:rsidRDefault="000502CC" w:rsidP="000502CC">
      <w:pPr>
        <w:pStyle w:val="Reportbodytextnumbering"/>
        <w:numPr>
          <w:ilvl w:val="0"/>
          <w:numId w:val="0"/>
        </w:numPr>
        <w:ind w:left="709" w:hanging="709"/>
        <w:rPr>
          <w:u w:color="3ED8BD" w:themeColor="accent2"/>
        </w:rPr>
      </w:pPr>
    </w:p>
    <w:p w14:paraId="34837E37" w14:textId="338DC146" w:rsidR="000502CC" w:rsidRPr="00B91524" w:rsidRDefault="000502CC" w:rsidP="000502CC">
      <w:pPr>
        <w:pStyle w:val="Reportbodytextnumbering"/>
        <w:numPr>
          <w:ilvl w:val="0"/>
          <w:numId w:val="0"/>
        </w:numPr>
        <w:ind w:left="709" w:hanging="709"/>
        <w:rPr>
          <w:u w:color="3ED8BD" w:themeColor="accent2"/>
        </w:rPr>
      </w:pPr>
    </w:p>
    <w:p w14:paraId="603C643B" w14:textId="07DE286B" w:rsidR="000502CC" w:rsidRPr="00B91524" w:rsidRDefault="000502CC" w:rsidP="000502CC">
      <w:pPr>
        <w:pStyle w:val="Reportbodytextnumbering"/>
        <w:numPr>
          <w:ilvl w:val="0"/>
          <w:numId w:val="0"/>
        </w:numPr>
        <w:ind w:left="709" w:hanging="709"/>
        <w:rPr>
          <w:u w:color="3ED8BD" w:themeColor="accent2"/>
        </w:rPr>
      </w:pPr>
    </w:p>
    <w:p w14:paraId="70C14372" w14:textId="41455D8E" w:rsidR="000502CC" w:rsidRPr="00B91524" w:rsidRDefault="000502CC" w:rsidP="000502CC">
      <w:pPr>
        <w:pStyle w:val="Reportbodytextnumbering"/>
        <w:numPr>
          <w:ilvl w:val="0"/>
          <w:numId w:val="0"/>
        </w:numPr>
        <w:ind w:left="709" w:hanging="709"/>
        <w:rPr>
          <w:u w:color="3ED8BD" w:themeColor="accent2"/>
        </w:rPr>
      </w:pPr>
    </w:p>
    <w:p w14:paraId="1D22F538" w14:textId="612616A5" w:rsidR="000502CC" w:rsidRPr="00B91524" w:rsidRDefault="000502CC" w:rsidP="000502CC">
      <w:pPr>
        <w:pStyle w:val="Reportbodytextnumbering"/>
        <w:numPr>
          <w:ilvl w:val="0"/>
          <w:numId w:val="0"/>
        </w:numPr>
        <w:ind w:left="709" w:hanging="709"/>
        <w:rPr>
          <w:u w:color="3ED8BD" w:themeColor="accent2"/>
        </w:rPr>
      </w:pPr>
    </w:p>
    <w:p w14:paraId="0D3FA5B7" w14:textId="5DC514ED" w:rsidR="000502CC" w:rsidRPr="00B91524" w:rsidRDefault="000502CC" w:rsidP="000502CC">
      <w:pPr>
        <w:pStyle w:val="Reportbodytextnumbering"/>
        <w:numPr>
          <w:ilvl w:val="0"/>
          <w:numId w:val="0"/>
        </w:numPr>
        <w:ind w:left="709" w:hanging="709"/>
        <w:rPr>
          <w:u w:color="3ED8BD" w:themeColor="accent2"/>
        </w:rPr>
      </w:pPr>
    </w:p>
    <w:p w14:paraId="6CC0B1D2" w14:textId="3772AA71" w:rsidR="000502CC" w:rsidRPr="00B91524" w:rsidRDefault="000502CC" w:rsidP="000502CC">
      <w:pPr>
        <w:pStyle w:val="Reportbodytextnumbering"/>
        <w:numPr>
          <w:ilvl w:val="0"/>
          <w:numId w:val="0"/>
        </w:numPr>
        <w:ind w:left="709" w:hanging="709"/>
        <w:rPr>
          <w:u w:color="3ED8BD" w:themeColor="accent2"/>
        </w:rPr>
      </w:pPr>
    </w:p>
    <w:p w14:paraId="45019348" w14:textId="687C1003" w:rsidR="000502CC" w:rsidRPr="00B91524" w:rsidRDefault="000502CC" w:rsidP="000502CC">
      <w:pPr>
        <w:pStyle w:val="Reportbodytextnumbering"/>
        <w:numPr>
          <w:ilvl w:val="0"/>
          <w:numId w:val="0"/>
        </w:numPr>
        <w:ind w:left="709" w:hanging="709"/>
        <w:rPr>
          <w:u w:color="3ED8BD" w:themeColor="accent2"/>
        </w:rPr>
      </w:pPr>
    </w:p>
    <w:p w14:paraId="7A7F41A4" w14:textId="7F0628C2" w:rsidR="000502CC" w:rsidRPr="00B91524" w:rsidRDefault="000502CC" w:rsidP="000502CC">
      <w:pPr>
        <w:pStyle w:val="Reportbodytextnumbering"/>
        <w:numPr>
          <w:ilvl w:val="0"/>
          <w:numId w:val="0"/>
        </w:numPr>
        <w:ind w:left="709" w:hanging="709"/>
        <w:rPr>
          <w:u w:color="3ED8BD" w:themeColor="accent2"/>
        </w:rPr>
      </w:pPr>
    </w:p>
    <w:p w14:paraId="2A56A82B" w14:textId="597E3FAE" w:rsidR="000502CC" w:rsidRPr="00B91524" w:rsidRDefault="000502CC" w:rsidP="000502CC">
      <w:pPr>
        <w:pStyle w:val="Reportbodytextnumbering"/>
        <w:numPr>
          <w:ilvl w:val="0"/>
          <w:numId w:val="0"/>
        </w:numPr>
        <w:ind w:left="709" w:hanging="709"/>
        <w:rPr>
          <w:u w:color="3ED8BD" w:themeColor="accent2"/>
        </w:rPr>
      </w:pPr>
    </w:p>
    <w:p w14:paraId="5B5DC9AE" w14:textId="380EFF63" w:rsidR="000502CC" w:rsidRPr="00B91524" w:rsidRDefault="000502CC" w:rsidP="000502CC">
      <w:pPr>
        <w:pStyle w:val="Reportbodytextnumbering"/>
        <w:numPr>
          <w:ilvl w:val="0"/>
          <w:numId w:val="0"/>
        </w:numPr>
        <w:ind w:left="709" w:hanging="709"/>
        <w:rPr>
          <w:u w:color="3ED8BD" w:themeColor="accent2"/>
        </w:rPr>
      </w:pPr>
    </w:p>
    <w:p w14:paraId="32685760" w14:textId="67ECD29E" w:rsidR="000502CC" w:rsidRPr="00B91524" w:rsidRDefault="000502CC" w:rsidP="000502CC">
      <w:pPr>
        <w:pStyle w:val="Reportbodytextnumbering"/>
        <w:numPr>
          <w:ilvl w:val="0"/>
          <w:numId w:val="0"/>
        </w:numPr>
        <w:ind w:left="709" w:hanging="709"/>
        <w:rPr>
          <w:u w:color="3ED8BD" w:themeColor="accent2"/>
        </w:rPr>
      </w:pPr>
    </w:p>
    <w:p w14:paraId="0358E1F3" w14:textId="03E0E5FF" w:rsidR="000502CC" w:rsidRPr="00B91524" w:rsidRDefault="000502CC" w:rsidP="000502CC">
      <w:pPr>
        <w:pStyle w:val="Reportbodytextnumbering"/>
        <w:numPr>
          <w:ilvl w:val="0"/>
          <w:numId w:val="0"/>
        </w:numPr>
        <w:ind w:left="709" w:hanging="709"/>
        <w:rPr>
          <w:u w:color="3ED8BD" w:themeColor="accent2"/>
        </w:rPr>
      </w:pPr>
    </w:p>
    <w:p w14:paraId="65E41C62" w14:textId="7B21D701" w:rsidR="000502CC" w:rsidRPr="00B91524" w:rsidRDefault="000502CC" w:rsidP="000502CC">
      <w:pPr>
        <w:pStyle w:val="Reportbodytextnumbering"/>
        <w:numPr>
          <w:ilvl w:val="0"/>
          <w:numId w:val="0"/>
        </w:numPr>
        <w:ind w:left="709" w:hanging="709"/>
        <w:rPr>
          <w:u w:color="3ED8BD" w:themeColor="accent2"/>
        </w:rPr>
      </w:pPr>
    </w:p>
    <w:p w14:paraId="5C4247C9" w14:textId="75C8BEC3" w:rsidR="000502CC" w:rsidRPr="00B91524" w:rsidRDefault="000502CC" w:rsidP="000502CC">
      <w:pPr>
        <w:pStyle w:val="Reportbodytextnumbering"/>
        <w:numPr>
          <w:ilvl w:val="0"/>
          <w:numId w:val="0"/>
        </w:numPr>
        <w:ind w:left="709" w:hanging="709"/>
        <w:rPr>
          <w:u w:color="3ED8BD" w:themeColor="accent2"/>
        </w:rPr>
      </w:pPr>
    </w:p>
    <w:p w14:paraId="314B2964" w14:textId="2B7FA032" w:rsidR="000502CC" w:rsidRPr="00B91524" w:rsidRDefault="000502CC" w:rsidP="000502CC">
      <w:pPr>
        <w:pStyle w:val="Reportbodytextnumbering"/>
        <w:numPr>
          <w:ilvl w:val="0"/>
          <w:numId w:val="0"/>
        </w:numPr>
        <w:ind w:left="709" w:hanging="709"/>
        <w:rPr>
          <w:u w:color="3ED8BD" w:themeColor="accent2"/>
        </w:rPr>
      </w:pPr>
    </w:p>
    <w:p w14:paraId="5A3160D9" w14:textId="335D57FF" w:rsidR="000502CC" w:rsidRPr="00B91524" w:rsidRDefault="000502CC" w:rsidP="000502CC">
      <w:pPr>
        <w:pStyle w:val="Reportbodytextnumbering"/>
        <w:numPr>
          <w:ilvl w:val="0"/>
          <w:numId w:val="0"/>
        </w:numPr>
        <w:ind w:left="709" w:hanging="709"/>
        <w:rPr>
          <w:u w:color="3ED8BD" w:themeColor="accent2"/>
        </w:rPr>
      </w:pPr>
    </w:p>
    <w:p w14:paraId="1F05B272" w14:textId="6BC6F957" w:rsidR="000502CC" w:rsidRPr="00B91524" w:rsidRDefault="00910169" w:rsidP="000502CC">
      <w:pPr>
        <w:pStyle w:val="Reportbodytextnumbering"/>
        <w:numPr>
          <w:ilvl w:val="0"/>
          <w:numId w:val="0"/>
        </w:numPr>
        <w:ind w:left="709" w:hanging="709"/>
        <w:rPr>
          <w:u w:color="3ED8BD" w:themeColor="accent2"/>
        </w:rPr>
      </w:pPr>
      <w:r w:rsidRPr="00B91524">
        <w:rPr>
          <w:noProof/>
        </w:rPr>
        <w:lastRenderedPageBreak/>
        <w:drawing>
          <wp:anchor distT="0" distB="0" distL="114300" distR="114300" simplePos="0" relativeHeight="251708927" behindDoc="0" locked="0" layoutInCell="1" allowOverlap="1" wp14:anchorId="2F7CCD0B" wp14:editId="4B5872E5">
            <wp:simplePos x="0" y="0"/>
            <wp:positionH relativeFrom="margin">
              <wp:align>center</wp:align>
            </wp:positionH>
            <wp:positionV relativeFrom="paragraph">
              <wp:posOffset>61141</wp:posOffset>
            </wp:positionV>
            <wp:extent cx="5343525" cy="8134350"/>
            <wp:effectExtent l="0" t="0" r="9525"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extLst>
                        <a:ext uri="{28A0092B-C50C-407E-A947-70E740481C1C}">
                          <a14:useLocalDpi xmlns:a14="http://schemas.microsoft.com/office/drawing/2010/main" val="0"/>
                        </a:ext>
                      </a:extLst>
                    </a:blip>
                    <a:stretch>
                      <a:fillRect/>
                    </a:stretch>
                  </pic:blipFill>
                  <pic:spPr>
                    <a:xfrm>
                      <a:off x="0" y="0"/>
                      <a:ext cx="5343525" cy="8134350"/>
                    </a:xfrm>
                    <a:prstGeom prst="rect">
                      <a:avLst/>
                    </a:prstGeom>
                  </pic:spPr>
                </pic:pic>
              </a:graphicData>
            </a:graphic>
            <wp14:sizeRelH relativeFrom="page">
              <wp14:pctWidth>0</wp14:pctWidth>
            </wp14:sizeRelH>
            <wp14:sizeRelV relativeFrom="page">
              <wp14:pctHeight>0</wp14:pctHeight>
            </wp14:sizeRelV>
          </wp:anchor>
        </w:drawing>
      </w:r>
    </w:p>
    <w:p w14:paraId="427BB97F" w14:textId="3FF2CC79" w:rsidR="000502CC" w:rsidRPr="00B91524" w:rsidRDefault="000502CC" w:rsidP="000502CC">
      <w:pPr>
        <w:pStyle w:val="Reportbodytextnumbering"/>
        <w:numPr>
          <w:ilvl w:val="0"/>
          <w:numId w:val="0"/>
        </w:numPr>
        <w:ind w:left="709" w:hanging="709"/>
        <w:rPr>
          <w:u w:color="3ED8BD" w:themeColor="accent2"/>
        </w:rPr>
      </w:pPr>
    </w:p>
    <w:p w14:paraId="40A1A09E" w14:textId="148274C9" w:rsidR="000502CC" w:rsidRPr="00B91524" w:rsidRDefault="000502CC" w:rsidP="000502CC">
      <w:pPr>
        <w:pStyle w:val="Reportbodytextnumbering"/>
        <w:numPr>
          <w:ilvl w:val="0"/>
          <w:numId w:val="0"/>
        </w:numPr>
        <w:ind w:left="709" w:hanging="709"/>
        <w:rPr>
          <w:u w:color="3ED8BD" w:themeColor="accent2"/>
        </w:rPr>
      </w:pPr>
    </w:p>
    <w:p w14:paraId="539FB586" w14:textId="5E77408F" w:rsidR="000502CC" w:rsidRPr="00B91524" w:rsidRDefault="000502CC" w:rsidP="000502CC">
      <w:pPr>
        <w:pStyle w:val="Reportbodytextnumbering"/>
        <w:numPr>
          <w:ilvl w:val="0"/>
          <w:numId w:val="0"/>
        </w:numPr>
        <w:ind w:left="709" w:hanging="709"/>
        <w:rPr>
          <w:u w:color="3ED8BD" w:themeColor="accent2"/>
        </w:rPr>
      </w:pPr>
    </w:p>
    <w:p w14:paraId="76740759" w14:textId="5C4AC775" w:rsidR="000502CC" w:rsidRPr="00B91524" w:rsidRDefault="000502CC" w:rsidP="000502CC">
      <w:pPr>
        <w:pStyle w:val="Reportbodytextnumbering"/>
        <w:numPr>
          <w:ilvl w:val="0"/>
          <w:numId w:val="0"/>
        </w:numPr>
        <w:ind w:left="709" w:hanging="709"/>
        <w:rPr>
          <w:u w:color="3ED8BD" w:themeColor="accent2"/>
        </w:rPr>
      </w:pPr>
    </w:p>
    <w:p w14:paraId="3BD2C386" w14:textId="1FA3B45D" w:rsidR="000502CC" w:rsidRPr="00B91524" w:rsidRDefault="000502CC" w:rsidP="000502CC">
      <w:pPr>
        <w:pStyle w:val="Reportbodytextnumbering"/>
        <w:numPr>
          <w:ilvl w:val="0"/>
          <w:numId w:val="0"/>
        </w:numPr>
        <w:ind w:left="709" w:hanging="709"/>
        <w:rPr>
          <w:u w:color="3ED8BD" w:themeColor="accent2"/>
        </w:rPr>
      </w:pPr>
    </w:p>
    <w:p w14:paraId="664B0E9A" w14:textId="687C1A56" w:rsidR="000502CC" w:rsidRPr="00B91524" w:rsidRDefault="000502CC" w:rsidP="000502CC">
      <w:pPr>
        <w:pStyle w:val="Reportbodytextnumbering"/>
        <w:numPr>
          <w:ilvl w:val="0"/>
          <w:numId w:val="0"/>
        </w:numPr>
        <w:ind w:left="709" w:hanging="709"/>
        <w:rPr>
          <w:u w:color="3ED8BD" w:themeColor="accent2"/>
        </w:rPr>
      </w:pPr>
    </w:p>
    <w:p w14:paraId="7C0B40C3" w14:textId="56C06BC7" w:rsidR="000502CC" w:rsidRPr="00B91524" w:rsidRDefault="000502CC" w:rsidP="000502CC">
      <w:pPr>
        <w:pStyle w:val="Reportbodytextnumbering"/>
        <w:numPr>
          <w:ilvl w:val="0"/>
          <w:numId w:val="0"/>
        </w:numPr>
        <w:ind w:left="709" w:hanging="709"/>
        <w:rPr>
          <w:u w:color="3ED8BD" w:themeColor="accent2"/>
        </w:rPr>
      </w:pPr>
    </w:p>
    <w:p w14:paraId="2EF3A3B6" w14:textId="53DC3E9B" w:rsidR="000502CC" w:rsidRPr="00B91524" w:rsidRDefault="000502CC" w:rsidP="000502CC">
      <w:pPr>
        <w:pStyle w:val="Reportbodytextnumbering"/>
        <w:numPr>
          <w:ilvl w:val="0"/>
          <w:numId w:val="0"/>
        </w:numPr>
        <w:ind w:left="709" w:hanging="709"/>
        <w:rPr>
          <w:u w:color="3ED8BD" w:themeColor="accent2"/>
        </w:rPr>
      </w:pPr>
    </w:p>
    <w:p w14:paraId="435A90B5" w14:textId="046E45C7" w:rsidR="000502CC" w:rsidRPr="00B91524" w:rsidRDefault="000502CC" w:rsidP="000502CC">
      <w:pPr>
        <w:pStyle w:val="Reportbodytextnumbering"/>
        <w:numPr>
          <w:ilvl w:val="0"/>
          <w:numId w:val="0"/>
        </w:numPr>
        <w:ind w:left="709" w:hanging="709"/>
        <w:rPr>
          <w:u w:color="3ED8BD" w:themeColor="accent2"/>
        </w:rPr>
      </w:pPr>
    </w:p>
    <w:p w14:paraId="1577847D" w14:textId="252274CC" w:rsidR="000502CC" w:rsidRPr="00B91524" w:rsidRDefault="000502CC" w:rsidP="000502CC">
      <w:pPr>
        <w:pStyle w:val="Reportbodytextnumbering"/>
        <w:numPr>
          <w:ilvl w:val="0"/>
          <w:numId w:val="0"/>
        </w:numPr>
        <w:ind w:left="709" w:hanging="709"/>
        <w:rPr>
          <w:u w:color="3ED8BD" w:themeColor="accent2"/>
        </w:rPr>
      </w:pPr>
    </w:p>
    <w:p w14:paraId="35E7713B" w14:textId="0AEFA3FA" w:rsidR="000502CC" w:rsidRPr="00B91524" w:rsidRDefault="000502CC" w:rsidP="000502CC">
      <w:pPr>
        <w:pStyle w:val="Reportbodytextnumbering"/>
        <w:numPr>
          <w:ilvl w:val="0"/>
          <w:numId w:val="0"/>
        </w:numPr>
        <w:ind w:left="709" w:hanging="709"/>
        <w:rPr>
          <w:u w:color="3ED8BD" w:themeColor="accent2"/>
        </w:rPr>
      </w:pPr>
    </w:p>
    <w:p w14:paraId="2672627F" w14:textId="0D397037" w:rsidR="000502CC" w:rsidRPr="00B91524" w:rsidRDefault="000502CC" w:rsidP="000502CC">
      <w:pPr>
        <w:pStyle w:val="Reportbodytextnumbering"/>
        <w:numPr>
          <w:ilvl w:val="0"/>
          <w:numId w:val="0"/>
        </w:numPr>
        <w:ind w:left="709" w:hanging="709"/>
        <w:rPr>
          <w:u w:color="3ED8BD" w:themeColor="accent2"/>
        </w:rPr>
      </w:pPr>
    </w:p>
    <w:p w14:paraId="6F92ABCB" w14:textId="68D58554" w:rsidR="000502CC" w:rsidRPr="00B91524" w:rsidRDefault="000502CC" w:rsidP="000502CC">
      <w:pPr>
        <w:pStyle w:val="Reportbodytextnumbering"/>
        <w:numPr>
          <w:ilvl w:val="0"/>
          <w:numId w:val="0"/>
        </w:numPr>
        <w:ind w:left="709" w:hanging="709"/>
        <w:rPr>
          <w:u w:color="3ED8BD" w:themeColor="accent2"/>
        </w:rPr>
      </w:pPr>
    </w:p>
    <w:p w14:paraId="6268C7A6" w14:textId="68C006DD" w:rsidR="000502CC" w:rsidRPr="00B91524" w:rsidRDefault="000502CC" w:rsidP="000502CC">
      <w:pPr>
        <w:pStyle w:val="Reportbodytextnumbering"/>
        <w:numPr>
          <w:ilvl w:val="0"/>
          <w:numId w:val="0"/>
        </w:numPr>
        <w:ind w:left="709" w:hanging="709"/>
        <w:rPr>
          <w:u w:color="3ED8BD" w:themeColor="accent2"/>
        </w:rPr>
      </w:pPr>
    </w:p>
    <w:p w14:paraId="29D44B24" w14:textId="50536B69" w:rsidR="000502CC" w:rsidRPr="00B91524" w:rsidRDefault="000502CC" w:rsidP="000502CC">
      <w:pPr>
        <w:pStyle w:val="Reportbodytextnumbering"/>
        <w:numPr>
          <w:ilvl w:val="0"/>
          <w:numId w:val="0"/>
        </w:numPr>
        <w:ind w:left="709" w:hanging="709"/>
        <w:rPr>
          <w:u w:color="3ED8BD" w:themeColor="accent2"/>
        </w:rPr>
      </w:pPr>
    </w:p>
    <w:p w14:paraId="2B4C71FD" w14:textId="2EBDBE65" w:rsidR="000502CC" w:rsidRPr="00B91524" w:rsidRDefault="000502CC" w:rsidP="000502CC">
      <w:pPr>
        <w:pStyle w:val="Reportbodytextnumbering"/>
        <w:numPr>
          <w:ilvl w:val="0"/>
          <w:numId w:val="0"/>
        </w:numPr>
        <w:ind w:left="709" w:hanging="709"/>
        <w:rPr>
          <w:u w:color="3ED8BD" w:themeColor="accent2"/>
        </w:rPr>
      </w:pPr>
    </w:p>
    <w:p w14:paraId="403DE71B" w14:textId="21D7DC6A" w:rsidR="000502CC" w:rsidRPr="00B91524" w:rsidRDefault="000502CC" w:rsidP="000502CC">
      <w:pPr>
        <w:pStyle w:val="Reportbodytextnumbering"/>
        <w:numPr>
          <w:ilvl w:val="0"/>
          <w:numId w:val="0"/>
        </w:numPr>
        <w:ind w:left="709" w:hanging="709"/>
        <w:rPr>
          <w:u w:color="3ED8BD" w:themeColor="accent2"/>
        </w:rPr>
      </w:pPr>
    </w:p>
    <w:p w14:paraId="712F8DAB" w14:textId="485ADE0B" w:rsidR="000502CC" w:rsidRPr="00B91524" w:rsidRDefault="000502CC" w:rsidP="000502CC">
      <w:pPr>
        <w:pStyle w:val="Reportbodytextnumbering"/>
        <w:numPr>
          <w:ilvl w:val="0"/>
          <w:numId w:val="0"/>
        </w:numPr>
        <w:ind w:left="709" w:hanging="709"/>
        <w:rPr>
          <w:u w:color="3ED8BD" w:themeColor="accent2"/>
        </w:rPr>
      </w:pPr>
    </w:p>
    <w:p w14:paraId="61052ED3" w14:textId="1EE244E6" w:rsidR="000502CC" w:rsidRPr="00B91524" w:rsidRDefault="000502CC" w:rsidP="000502CC">
      <w:pPr>
        <w:pStyle w:val="Reportbodytextnumbering"/>
        <w:numPr>
          <w:ilvl w:val="0"/>
          <w:numId w:val="0"/>
        </w:numPr>
        <w:ind w:left="709" w:hanging="709"/>
        <w:rPr>
          <w:u w:color="3ED8BD" w:themeColor="accent2"/>
        </w:rPr>
      </w:pPr>
    </w:p>
    <w:p w14:paraId="6979E2C6" w14:textId="03FDC11E" w:rsidR="000502CC" w:rsidRPr="00B91524" w:rsidRDefault="000502CC" w:rsidP="000502CC">
      <w:pPr>
        <w:pStyle w:val="Reportbodytextnumbering"/>
        <w:numPr>
          <w:ilvl w:val="0"/>
          <w:numId w:val="0"/>
        </w:numPr>
        <w:ind w:left="709" w:hanging="709"/>
        <w:rPr>
          <w:u w:color="3ED8BD" w:themeColor="accent2"/>
        </w:rPr>
      </w:pPr>
    </w:p>
    <w:p w14:paraId="38E640B0" w14:textId="744C80E4" w:rsidR="000502CC" w:rsidRPr="00B91524" w:rsidRDefault="000502CC" w:rsidP="000502CC">
      <w:pPr>
        <w:pStyle w:val="Reportbodytextnumbering"/>
        <w:numPr>
          <w:ilvl w:val="0"/>
          <w:numId w:val="0"/>
        </w:numPr>
        <w:ind w:left="709" w:hanging="709"/>
        <w:rPr>
          <w:u w:color="3ED8BD" w:themeColor="accent2"/>
        </w:rPr>
      </w:pPr>
    </w:p>
    <w:p w14:paraId="35F9ACAE" w14:textId="466260CF" w:rsidR="000502CC" w:rsidRPr="00B91524" w:rsidRDefault="000502CC" w:rsidP="000502CC">
      <w:pPr>
        <w:pStyle w:val="Reportbodytextnumbering"/>
        <w:numPr>
          <w:ilvl w:val="0"/>
          <w:numId w:val="0"/>
        </w:numPr>
        <w:ind w:left="709" w:hanging="709"/>
        <w:rPr>
          <w:u w:color="3ED8BD" w:themeColor="accent2"/>
        </w:rPr>
      </w:pPr>
    </w:p>
    <w:p w14:paraId="4728B79F" w14:textId="0019211D" w:rsidR="000502CC" w:rsidRPr="00B91524" w:rsidRDefault="000502CC" w:rsidP="000502CC">
      <w:pPr>
        <w:pStyle w:val="Reportbodytextnumbering"/>
        <w:numPr>
          <w:ilvl w:val="0"/>
          <w:numId w:val="0"/>
        </w:numPr>
        <w:ind w:left="709" w:hanging="709"/>
        <w:rPr>
          <w:u w:color="3ED8BD" w:themeColor="accent2"/>
        </w:rPr>
      </w:pPr>
    </w:p>
    <w:p w14:paraId="5F17FA8C" w14:textId="35F3C2B9" w:rsidR="000502CC" w:rsidRPr="00B91524" w:rsidRDefault="000502CC" w:rsidP="000502CC">
      <w:pPr>
        <w:pStyle w:val="Reportbodytextnumbering"/>
        <w:numPr>
          <w:ilvl w:val="0"/>
          <w:numId w:val="0"/>
        </w:numPr>
        <w:ind w:left="709" w:hanging="709"/>
        <w:rPr>
          <w:u w:color="3ED8BD" w:themeColor="accent2"/>
        </w:rPr>
      </w:pPr>
    </w:p>
    <w:p w14:paraId="63820FF7" w14:textId="0FAB71FE" w:rsidR="000502CC" w:rsidRPr="00B91524" w:rsidRDefault="000502CC" w:rsidP="000502CC">
      <w:pPr>
        <w:pStyle w:val="Reportbodytextnumbering"/>
        <w:numPr>
          <w:ilvl w:val="0"/>
          <w:numId w:val="0"/>
        </w:numPr>
        <w:ind w:left="709" w:hanging="709"/>
        <w:rPr>
          <w:u w:color="3ED8BD" w:themeColor="accent2"/>
        </w:rPr>
      </w:pPr>
    </w:p>
    <w:p w14:paraId="3F40C908" w14:textId="336D14BE" w:rsidR="000502CC" w:rsidRPr="00B91524" w:rsidRDefault="000502CC" w:rsidP="000502CC">
      <w:pPr>
        <w:pStyle w:val="Reportbodytextnumbering"/>
        <w:numPr>
          <w:ilvl w:val="0"/>
          <w:numId w:val="0"/>
        </w:numPr>
        <w:ind w:left="709" w:hanging="709"/>
        <w:rPr>
          <w:u w:color="3ED8BD" w:themeColor="accent2"/>
        </w:rPr>
      </w:pPr>
    </w:p>
    <w:p w14:paraId="7AC198E2" w14:textId="70130A76" w:rsidR="000502CC" w:rsidRPr="00B91524" w:rsidRDefault="000502CC" w:rsidP="000502CC">
      <w:pPr>
        <w:pStyle w:val="Reportbodytextnumbering"/>
        <w:numPr>
          <w:ilvl w:val="0"/>
          <w:numId w:val="0"/>
        </w:numPr>
        <w:ind w:left="709" w:hanging="709"/>
        <w:rPr>
          <w:u w:color="3ED8BD" w:themeColor="accent2"/>
        </w:rPr>
      </w:pPr>
    </w:p>
    <w:p w14:paraId="25855485" w14:textId="720EE6B4" w:rsidR="000502CC" w:rsidRPr="00B91524" w:rsidRDefault="00910169" w:rsidP="000502CC">
      <w:pPr>
        <w:pStyle w:val="Reportbodytextnumbering"/>
        <w:numPr>
          <w:ilvl w:val="0"/>
          <w:numId w:val="0"/>
        </w:numPr>
        <w:ind w:left="709" w:hanging="709"/>
        <w:rPr>
          <w:u w:color="3ED8BD" w:themeColor="accent2"/>
        </w:rPr>
      </w:pPr>
      <w:r w:rsidRPr="00B91524">
        <w:rPr>
          <w:noProof/>
        </w:rPr>
        <w:lastRenderedPageBreak/>
        <w:drawing>
          <wp:anchor distT="0" distB="0" distL="114300" distR="114300" simplePos="0" relativeHeight="251709951" behindDoc="0" locked="0" layoutInCell="1" allowOverlap="1" wp14:anchorId="3D40A624" wp14:editId="03E4A4B7">
            <wp:simplePos x="0" y="0"/>
            <wp:positionH relativeFrom="margin">
              <wp:align>center</wp:align>
            </wp:positionH>
            <wp:positionV relativeFrom="paragraph">
              <wp:posOffset>-46355</wp:posOffset>
            </wp:positionV>
            <wp:extent cx="5467350" cy="8086725"/>
            <wp:effectExtent l="0" t="0" r="0" b="952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extLst>
                        <a:ext uri="{28A0092B-C50C-407E-A947-70E740481C1C}">
                          <a14:useLocalDpi xmlns:a14="http://schemas.microsoft.com/office/drawing/2010/main" val="0"/>
                        </a:ext>
                      </a:extLst>
                    </a:blip>
                    <a:stretch>
                      <a:fillRect/>
                    </a:stretch>
                  </pic:blipFill>
                  <pic:spPr>
                    <a:xfrm>
                      <a:off x="0" y="0"/>
                      <a:ext cx="5467350" cy="8086725"/>
                    </a:xfrm>
                    <a:prstGeom prst="rect">
                      <a:avLst/>
                    </a:prstGeom>
                  </pic:spPr>
                </pic:pic>
              </a:graphicData>
            </a:graphic>
            <wp14:sizeRelH relativeFrom="page">
              <wp14:pctWidth>0</wp14:pctWidth>
            </wp14:sizeRelH>
            <wp14:sizeRelV relativeFrom="page">
              <wp14:pctHeight>0</wp14:pctHeight>
            </wp14:sizeRelV>
          </wp:anchor>
        </w:drawing>
      </w:r>
    </w:p>
    <w:p w14:paraId="5F7364D9" w14:textId="7E765C6B" w:rsidR="000502CC" w:rsidRPr="00B91524" w:rsidRDefault="000502CC" w:rsidP="000502CC">
      <w:pPr>
        <w:pStyle w:val="Reportbodytextnumbering"/>
        <w:numPr>
          <w:ilvl w:val="0"/>
          <w:numId w:val="0"/>
        </w:numPr>
        <w:ind w:left="709" w:hanging="709"/>
        <w:rPr>
          <w:u w:color="3ED8BD" w:themeColor="accent2"/>
        </w:rPr>
      </w:pPr>
    </w:p>
    <w:p w14:paraId="753CBF91" w14:textId="293F077C" w:rsidR="000502CC" w:rsidRPr="00B91524" w:rsidRDefault="000502CC" w:rsidP="000502CC">
      <w:pPr>
        <w:pStyle w:val="Reportbodytextnumbering"/>
        <w:numPr>
          <w:ilvl w:val="0"/>
          <w:numId w:val="0"/>
        </w:numPr>
        <w:ind w:left="709" w:hanging="709"/>
        <w:rPr>
          <w:u w:color="3ED8BD" w:themeColor="accent2"/>
        </w:rPr>
      </w:pPr>
    </w:p>
    <w:p w14:paraId="04315D18" w14:textId="74CD145E" w:rsidR="000502CC" w:rsidRPr="00B91524" w:rsidRDefault="000502CC" w:rsidP="000502CC">
      <w:pPr>
        <w:pStyle w:val="Reportbodytextnumbering"/>
        <w:numPr>
          <w:ilvl w:val="0"/>
          <w:numId w:val="0"/>
        </w:numPr>
        <w:ind w:left="709" w:hanging="709"/>
        <w:rPr>
          <w:u w:color="3ED8BD" w:themeColor="accent2"/>
        </w:rPr>
      </w:pPr>
    </w:p>
    <w:p w14:paraId="7A935241" w14:textId="00C78E6A" w:rsidR="000502CC" w:rsidRPr="00B91524" w:rsidRDefault="000502CC" w:rsidP="000502CC">
      <w:pPr>
        <w:pStyle w:val="Reportbodytextnumbering"/>
        <w:numPr>
          <w:ilvl w:val="0"/>
          <w:numId w:val="0"/>
        </w:numPr>
        <w:ind w:left="709" w:hanging="709"/>
        <w:rPr>
          <w:u w:color="3ED8BD" w:themeColor="accent2"/>
        </w:rPr>
      </w:pPr>
    </w:p>
    <w:p w14:paraId="02AF234C" w14:textId="13E9C33A" w:rsidR="000502CC" w:rsidRPr="00B91524" w:rsidRDefault="000502CC" w:rsidP="000502CC">
      <w:pPr>
        <w:pStyle w:val="Reportbodytextnumbering"/>
        <w:numPr>
          <w:ilvl w:val="0"/>
          <w:numId w:val="0"/>
        </w:numPr>
        <w:ind w:left="709" w:hanging="709"/>
        <w:rPr>
          <w:u w:color="3ED8BD" w:themeColor="accent2"/>
        </w:rPr>
      </w:pPr>
    </w:p>
    <w:p w14:paraId="09F331EB" w14:textId="51CEC525" w:rsidR="000502CC" w:rsidRPr="00B91524" w:rsidRDefault="000502CC" w:rsidP="000502CC">
      <w:pPr>
        <w:pStyle w:val="Reportbodytextnumbering"/>
        <w:numPr>
          <w:ilvl w:val="0"/>
          <w:numId w:val="0"/>
        </w:numPr>
        <w:ind w:left="709" w:hanging="709"/>
        <w:rPr>
          <w:u w:color="3ED8BD" w:themeColor="accent2"/>
        </w:rPr>
      </w:pPr>
    </w:p>
    <w:p w14:paraId="046E0A8D" w14:textId="0C9786D0" w:rsidR="000502CC" w:rsidRPr="00B91524" w:rsidRDefault="000502CC" w:rsidP="000502CC">
      <w:pPr>
        <w:pStyle w:val="Reportbodytextnumbering"/>
        <w:numPr>
          <w:ilvl w:val="0"/>
          <w:numId w:val="0"/>
        </w:numPr>
        <w:ind w:left="709" w:hanging="709"/>
        <w:rPr>
          <w:u w:color="3ED8BD" w:themeColor="accent2"/>
        </w:rPr>
      </w:pPr>
    </w:p>
    <w:p w14:paraId="2C1B86E5" w14:textId="3712D4E9" w:rsidR="000502CC" w:rsidRPr="00B91524" w:rsidRDefault="000502CC" w:rsidP="000502CC">
      <w:pPr>
        <w:pStyle w:val="Reportbodytextnumbering"/>
        <w:numPr>
          <w:ilvl w:val="0"/>
          <w:numId w:val="0"/>
        </w:numPr>
        <w:ind w:left="709" w:hanging="709"/>
        <w:rPr>
          <w:u w:color="3ED8BD" w:themeColor="accent2"/>
        </w:rPr>
      </w:pPr>
    </w:p>
    <w:p w14:paraId="687EC0B0" w14:textId="61B31C2B" w:rsidR="000502CC" w:rsidRPr="00B91524" w:rsidRDefault="000502CC" w:rsidP="000502CC">
      <w:pPr>
        <w:pStyle w:val="Reportbodytextnumbering"/>
        <w:numPr>
          <w:ilvl w:val="0"/>
          <w:numId w:val="0"/>
        </w:numPr>
        <w:ind w:left="709" w:hanging="709"/>
        <w:rPr>
          <w:u w:color="3ED8BD" w:themeColor="accent2"/>
        </w:rPr>
      </w:pPr>
    </w:p>
    <w:p w14:paraId="2F4C7D9B" w14:textId="247B70F0" w:rsidR="000502CC" w:rsidRPr="00B91524" w:rsidRDefault="000502CC" w:rsidP="000502CC">
      <w:pPr>
        <w:pStyle w:val="Reportbodytextnumbering"/>
        <w:numPr>
          <w:ilvl w:val="0"/>
          <w:numId w:val="0"/>
        </w:numPr>
        <w:ind w:left="709" w:hanging="709"/>
        <w:rPr>
          <w:u w:color="3ED8BD" w:themeColor="accent2"/>
        </w:rPr>
      </w:pPr>
    </w:p>
    <w:p w14:paraId="2EA8618F" w14:textId="0CB37189" w:rsidR="000502CC" w:rsidRPr="00B91524" w:rsidRDefault="000502CC" w:rsidP="000502CC">
      <w:pPr>
        <w:pStyle w:val="Reportbodytextnumbering"/>
        <w:numPr>
          <w:ilvl w:val="0"/>
          <w:numId w:val="0"/>
        </w:numPr>
        <w:ind w:left="709" w:hanging="709"/>
        <w:rPr>
          <w:u w:color="3ED8BD" w:themeColor="accent2"/>
        </w:rPr>
      </w:pPr>
    </w:p>
    <w:p w14:paraId="5B174C4A" w14:textId="27D6A394" w:rsidR="000502CC" w:rsidRPr="00B91524" w:rsidRDefault="000502CC" w:rsidP="000502CC">
      <w:pPr>
        <w:pStyle w:val="Reportbodytextnumbering"/>
        <w:numPr>
          <w:ilvl w:val="0"/>
          <w:numId w:val="0"/>
        </w:numPr>
        <w:ind w:left="709" w:hanging="709"/>
        <w:rPr>
          <w:u w:color="3ED8BD" w:themeColor="accent2"/>
        </w:rPr>
      </w:pPr>
    </w:p>
    <w:p w14:paraId="704E1F6F" w14:textId="0018C7C9" w:rsidR="000502CC" w:rsidRPr="00B91524" w:rsidRDefault="000502CC" w:rsidP="000502CC">
      <w:pPr>
        <w:pStyle w:val="Reportbodytextnumbering"/>
        <w:numPr>
          <w:ilvl w:val="0"/>
          <w:numId w:val="0"/>
        </w:numPr>
        <w:ind w:left="709" w:hanging="709"/>
        <w:rPr>
          <w:u w:color="3ED8BD" w:themeColor="accent2"/>
        </w:rPr>
      </w:pPr>
    </w:p>
    <w:p w14:paraId="51B51135" w14:textId="2A61F805" w:rsidR="000502CC" w:rsidRPr="00B91524" w:rsidRDefault="000502CC" w:rsidP="000502CC">
      <w:pPr>
        <w:pStyle w:val="Reportbodytextnumbering"/>
        <w:numPr>
          <w:ilvl w:val="0"/>
          <w:numId w:val="0"/>
        </w:numPr>
        <w:ind w:left="709" w:hanging="709"/>
        <w:rPr>
          <w:u w:color="3ED8BD" w:themeColor="accent2"/>
        </w:rPr>
      </w:pPr>
    </w:p>
    <w:p w14:paraId="0B74B029" w14:textId="1696CE4B" w:rsidR="000502CC" w:rsidRPr="00B91524" w:rsidRDefault="000502CC" w:rsidP="000502CC">
      <w:pPr>
        <w:pStyle w:val="Reportbodytextnumbering"/>
        <w:numPr>
          <w:ilvl w:val="0"/>
          <w:numId w:val="0"/>
        </w:numPr>
        <w:ind w:left="709" w:hanging="709"/>
        <w:rPr>
          <w:u w:color="3ED8BD" w:themeColor="accent2"/>
        </w:rPr>
      </w:pPr>
    </w:p>
    <w:p w14:paraId="3274CBF8" w14:textId="45C1AFD3" w:rsidR="000502CC" w:rsidRPr="00B91524" w:rsidRDefault="000502CC" w:rsidP="000502CC">
      <w:pPr>
        <w:pStyle w:val="Reportbodytextnumbering"/>
        <w:numPr>
          <w:ilvl w:val="0"/>
          <w:numId w:val="0"/>
        </w:numPr>
        <w:ind w:left="709" w:hanging="709"/>
        <w:rPr>
          <w:u w:color="3ED8BD" w:themeColor="accent2"/>
        </w:rPr>
      </w:pPr>
    </w:p>
    <w:p w14:paraId="32831D7A" w14:textId="6B0E9368" w:rsidR="000502CC" w:rsidRPr="00B91524" w:rsidRDefault="000502CC" w:rsidP="000502CC">
      <w:pPr>
        <w:pStyle w:val="Reportbodytextnumbering"/>
        <w:numPr>
          <w:ilvl w:val="0"/>
          <w:numId w:val="0"/>
        </w:numPr>
        <w:ind w:left="709" w:hanging="709"/>
        <w:rPr>
          <w:u w:color="3ED8BD" w:themeColor="accent2"/>
        </w:rPr>
      </w:pPr>
    </w:p>
    <w:p w14:paraId="2939DE90" w14:textId="2C1C15CD" w:rsidR="000502CC" w:rsidRPr="00B91524" w:rsidRDefault="000502CC" w:rsidP="000502CC">
      <w:pPr>
        <w:pStyle w:val="Reportbodytextnumbering"/>
        <w:numPr>
          <w:ilvl w:val="0"/>
          <w:numId w:val="0"/>
        </w:numPr>
        <w:ind w:left="709" w:hanging="709"/>
        <w:rPr>
          <w:u w:color="3ED8BD" w:themeColor="accent2"/>
        </w:rPr>
      </w:pPr>
    </w:p>
    <w:p w14:paraId="4C7D2AFF" w14:textId="78E74416" w:rsidR="000502CC" w:rsidRPr="00B91524" w:rsidRDefault="000502CC" w:rsidP="000502CC">
      <w:pPr>
        <w:pStyle w:val="Reportbodytextnumbering"/>
        <w:numPr>
          <w:ilvl w:val="0"/>
          <w:numId w:val="0"/>
        </w:numPr>
        <w:ind w:left="709" w:hanging="709"/>
        <w:rPr>
          <w:u w:color="3ED8BD" w:themeColor="accent2"/>
        </w:rPr>
      </w:pPr>
    </w:p>
    <w:p w14:paraId="5B2BFCD2" w14:textId="418EF5CE" w:rsidR="000502CC" w:rsidRPr="00B91524" w:rsidRDefault="000502CC" w:rsidP="000502CC">
      <w:pPr>
        <w:pStyle w:val="Reportbodytextnumbering"/>
        <w:numPr>
          <w:ilvl w:val="0"/>
          <w:numId w:val="0"/>
        </w:numPr>
        <w:ind w:left="709" w:hanging="709"/>
        <w:rPr>
          <w:u w:color="3ED8BD" w:themeColor="accent2"/>
        </w:rPr>
      </w:pPr>
    </w:p>
    <w:p w14:paraId="2478C0CC" w14:textId="4789073C" w:rsidR="000502CC" w:rsidRPr="00B91524" w:rsidRDefault="000502CC" w:rsidP="000502CC">
      <w:pPr>
        <w:pStyle w:val="Reportbodytextnumbering"/>
        <w:numPr>
          <w:ilvl w:val="0"/>
          <w:numId w:val="0"/>
        </w:numPr>
        <w:ind w:left="709" w:hanging="709"/>
        <w:rPr>
          <w:u w:color="3ED8BD" w:themeColor="accent2"/>
        </w:rPr>
      </w:pPr>
    </w:p>
    <w:p w14:paraId="6EE75A51" w14:textId="3C80C73E" w:rsidR="000502CC" w:rsidRPr="00B91524" w:rsidRDefault="000502CC" w:rsidP="000502CC">
      <w:pPr>
        <w:pStyle w:val="Reportbodytextnumbering"/>
        <w:numPr>
          <w:ilvl w:val="0"/>
          <w:numId w:val="0"/>
        </w:numPr>
        <w:ind w:left="709" w:hanging="709"/>
        <w:rPr>
          <w:u w:color="3ED8BD" w:themeColor="accent2"/>
        </w:rPr>
      </w:pPr>
    </w:p>
    <w:p w14:paraId="33686C11" w14:textId="48069A26" w:rsidR="000502CC" w:rsidRPr="00B91524" w:rsidRDefault="000502CC" w:rsidP="000502CC">
      <w:pPr>
        <w:pStyle w:val="Reportbodytextnumbering"/>
        <w:numPr>
          <w:ilvl w:val="0"/>
          <w:numId w:val="0"/>
        </w:numPr>
        <w:ind w:left="709" w:hanging="709"/>
        <w:rPr>
          <w:u w:color="3ED8BD" w:themeColor="accent2"/>
        </w:rPr>
      </w:pPr>
    </w:p>
    <w:p w14:paraId="405472B4" w14:textId="02C14780" w:rsidR="000502CC" w:rsidRPr="00B91524" w:rsidRDefault="000502CC" w:rsidP="000502CC">
      <w:pPr>
        <w:pStyle w:val="Reportbodytextnumbering"/>
        <w:numPr>
          <w:ilvl w:val="0"/>
          <w:numId w:val="0"/>
        </w:numPr>
        <w:ind w:left="709" w:hanging="709"/>
        <w:rPr>
          <w:u w:color="3ED8BD" w:themeColor="accent2"/>
        </w:rPr>
      </w:pPr>
    </w:p>
    <w:p w14:paraId="4BE0A063" w14:textId="0375DA3A" w:rsidR="000502CC" w:rsidRPr="00B91524" w:rsidRDefault="000502CC" w:rsidP="000502CC">
      <w:pPr>
        <w:pStyle w:val="Reportbodytextnumbering"/>
        <w:numPr>
          <w:ilvl w:val="0"/>
          <w:numId w:val="0"/>
        </w:numPr>
        <w:ind w:left="709" w:hanging="709"/>
        <w:rPr>
          <w:u w:color="3ED8BD" w:themeColor="accent2"/>
        </w:rPr>
      </w:pPr>
    </w:p>
    <w:p w14:paraId="5B418888" w14:textId="7C1FC2B6" w:rsidR="000502CC" w:rsidRPr="00B91524" w:rsidRDefault="000502CC" w:rsidP="000502CC">
      <w:pPr>
        <w:pStyle w:val="Reportbodytextnumbering"/>
        <w:numPr>
          <w:ilvl w:val="0"/>
          <w:numId w:val="0"/>
        </w:numPr>
        <w:ind w:left="709" w:hanging="709"/>
        <w:rPr>
          <w:u w:color="3ED8BD" w:themeColor="accent2"/>
        </w:rPr>
      </w:pPr>
    </w:p>
    <w:p w14:paraId="697DC33D" w14:textId="18B7F692" w:rsidR="000502CC" w:rsidRPr="00B91524" w:rsidRDefault="000502CC" w:rsidP="000502CC">
      <w:pPr>
        <w:pStyle w:val="Reportbodytextnumbering"/>
        <w:numPr>
          <w:ilvl w:val="0"/>
          <w:numId w:val="0"/>
        </w:numPr>
        <w:ind w:left="709" w:hanging="709"/>
        <w:rPr>
          <w:u w:color="3ED8BD" w:themeColor="accent2"/>
        </w:rPr>
      </w:pPr>
    </w:p>
    <w:p w14:paraId="647AF8BB" w14:textId="5CA518E4" w:rsidR="000502CC" w:rsidRPr="00B91524" w:rsidRDefault="000502CC" w:rsidP="000502CC">
      <w:pPr>
        <w:pStyle w:val="Reportbodytextnumbering"/>
        <w:numPr>
          <w:ilvl w:val="0"/>
          <w:numId w:val="0"/>
        </w:numPr>
        <w:ind w:left="709" w:hanging="709"/>
        <w:rPr>
          <w:u w:color="3ED8BD" w:themeColor="accent2"/>
        </w:rPr>
      </w:pPr>
    </w:p>
    <w:p w14:paraId="44B8BF71" w14:textId="0FFCE6C2" w:rsidR="000502CC" w:rsidRPr="00B91524" w:rsidRDefault="00910169" w:rsidP="007B42F3">
      <w:pPr>
        <w:pStyle w:val="Reportbodytextnumbering"/>
        <w:numPr>
          <w:ilvl w:val="0"/>
          <w:numId w:val="0"/>
        </w:numPr>
        <w:ind w:left="709" w:hanging="709"/>
        <w:rPr>
          <w:u w:color="3ED8BD" w:themeColor="accent2"/>
        </w:rPr>
      </w:pPr>
      <w:r w:rsidRPr="00B91524">
        <w:rPr>
          <w:noProof/>
        </w:rPr>
        <w:drawing>
          <wp:anchor distT="0" distB="0" distL="114300" distR="114300" simplePos="0" relativeHeight="251710975" behindDoc="0" locked="0" layoutInCell="1" allowOverlap="1" wp14:anchorId="583B119F" wp14:editId="742D5E70">
            <wp:simplePos x="0" y="0"/>
            <wp:positionH relativeFrom="margin">
              <wp:align>center</wp:align>
            </wp:positionH>
            <wp:positionV relativeFrom="paragraph">
              <wp:posOffset>216445</wp:posOffset>
            </wp:positionV>
            <wp:extent cx="5486400" cy="2009775"/>
            <wp:effectExtent l="0" t="0" r="0" b="9525"/>
            <wp:wrapSquare wrapText="bothSides"/>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5486400" cy="2009775"/>
                    </a:xfrm>
                    <a:prstGeom prst="rect">
                      <a:avLst/>
                    </a:prstGeom>
                  </pic:spPr>
                </pic:pic>
              </a:graphicData>
            </a:graphic>
          </wp:anchor>
        </w:drawing>
      </w:r>
    </w:p>
    <w:p w14:paraId="0767871D" w14:textId="1057B664" w:rsidR="000502CC" w:rsidRPr="00B91524" w:rsidRDefault="000502CC" w:rsidP="000502CC"/>
    <w:p w14:paraId="0BC4ECC2" w14:textId="099A8185" w:rsidR="009D42E8" w:rsidRPr="00B91524" w:rsidRDefault="009D42E8" w:rsidP="007B42F3">
      <w:pPr>
        <w:sectPr w:rsidR="009D42E8" w:rsidRPr="00B91524">
          <w:pgSz w:w="11906" w:h="16838"/>
          <w:pgMar w:top="1440" w:right="1440" w:bottom="1440" w:left="1440" w:header="709" w:footer="709" w:gutter="0"/>
          <w:cols w:space="720"/>
        </w:sectPr>
      </w:pPr>
    </w:p>
    <w:p w14:paraId="769C9856" w14:textId="662F6B02" w:rsidR="00BE32FA" w:rsidRPr="00B91524" w:rsidRDefault="00BE32FA" w:rsidP="00BE32FA">
      <w:pPr>
        <w:pStyle w:val="Appendix"/>
        <w:ind w:left="0" w:firstLine="0"/>
      </w:pPr>
      <w:bookmarkStart w:id="116" w:name="_Toc74670346"/>
      <w:r w:rsidRPr="00B91524">
        <w:lastRenderedPageBreak/>
        <w:t>EXISTING DATA USED IN THE DEVELOPMENT OF THE BMP.</w:t>
      </w:r>
      <w:bookmarkEnd w:id="115"/>
      <w:bookmarkEnd w:id="116"/>
      <w:r w:rsidRPr="00B91524">
        <w:t xml:space="preserve"> </w:t>
      </w:r>
    </w:p>
    <w:p w14:paraId="708D0364" w14:textId="64C8AFB9" w:rsidR="00BE32FA" w:rsidRPr="00B91524" w:rsidRDefault="00BE32FA" w:rsidP="00BD0ED0">
      <w:pPr>
        <w:pStyle w:val="Appendixsubheading"/>
      </w:pPr>
      <w:bookmarkStart w:id="117" w:name="_Toc46090243"/>
      <w:r w:rsidRPr="00B91524">
        <w:t>Existing Data</w:t>
      </w:r>
      <w:bookmarkEnd w:id="117"/>
    </w:p>
    <w:p w14:paraId="6CC7FFBF" w14:textId="77777777" w:rsidR="00BE32FA" w:rsidRPr="00B91524" w:rsidRDefault="00BE32FA" w:rsidP="00BE32FA">
      <w:pPr>
        <w:pStyle w:val="Reportbodytextnumbering"/>
        <w:numPr>
          <w:ilvl w:val="0"/>
          <w:numId w:val="0"/>
        </w:numPr>
      </w:pPr>
      <w:r w:rsidRPr="00B91524">
        <w:t xml:space="preserve">There exists a large volume of information relating to the benthic habitats and their associated communities located across the area of seabed where construction works are proposed. This has been collected during the site </w:t>
      </w:r>
      <w:proofErr w:type="spellStart"/>
      <w:r w:rsidRPr="00B91524">
        <w:t>characterisation</w:t>
      </w:r>
      <w:proofErr w:type="spellEnd"/>
      <w:r w:rsidRPr="00B91524">
        <w:t xml:space="preserve"> surveys of the wider Dogger Bank Zone in 2010-2011, statutory monitoring of the Dogger Bank Special Area of Conservation (SAC) by the Joint Nature Conservation Committee (JNCC) and long-term monitoring undertaken by the </w:t>
      </w:r>
      <w:proofErr w:type="spellStart"/>
      <w:r w:rsidRPr="00B91524">
        <w:t>Senckenberg</w:t>
      </w:r>
      <w:proofErr w:type="spellEnd"/>
      <w:r w:rsidRPr="00B91524">
        <w:t xml:space="preserve"> Research Institute (SRI) and others. </w:t>
      </w:r>
    </w:p>
    <w:p w14:paraId="4FAB3C4B" w14:textId="77777777" w:rsidR="00BE32FA" w:rsidRPr="00B91524" w:rsidRDefault="00BE32FA" w:rsidP="00BE32FA">
      <w:pPr>
        <w:pStyle w:val="Reportbodytextnumbering"/>
        <w:numPr>
          <w:ilvl w:val="0"/>
          <w:numId w:val="0"/>
        </w:numPr>
      </w:pPr>
      <w:r w:rsidRPr="00B91524">
        <w:t xml:space="preserve">Further up to date </w:t>
      </w:r>
      <w:proofErr w:type="spellStart"/>
      <w:r w:rsidRPr="00B91524">
        <w:t>characterisation</w:t>
      </w:r>
      <w:proofErr w:type="spellEnd"/>
      <w:r w:rsidRPr="00B91524">
        <w:t xml:space="preserve"> data has been collected by SOWFL as part of the geotechnical and geophysical site investigation (SI) campaign undertaken throughout spring and summer 2020. This involved collection of high-resolution acoustic data (side scan sonar (SSS) and multibeam echosounder (MBES)) along with a large volume of ground-truthing information including sediment samples and seabed imagery. This data will enable the existing habitat and biotope mapping to be updated in areas potentially affected by construction of the SOWF. It will also support the design of a robust benthic sampling array suitable for validation or otherwise of the key predictions made in the Environmental Statement (ES).  </w:t>
      </w:r>
    </w:p>
    <w:p w14:paraId="7734F776" w14:textId="77777777" w:rsidR="00BE32FA" w:rsidRPr="00B91524" w:rsidRDefault="00BE32FA" w:rsidP="00BD0ED0">
      <w:pPr>
        <w:pStyle w:val="Appendixsubheading2"/>
      </w:pPr>
      <w:bookmarkStart w:id="118" w:name="_Toc46090244"/>
      <w:r w:rsidRPr="00B91524">
        <w:t>Site Characterisation 2010/2011 and validation exercise (2019)</w:t>
      </w:r>
      <w:bookmarkEnd w:id="118"/>
    </w:p>
    <w:p w14:paraId="4606717D" w14:textId="3F78AA45" w:rsidR="00BE32FA" w:rsidRPr="00B91524" w:rsidRDefault="00BE32FA" w:rsidP="00BE32FA">
      <w:pPr>
        <w:pStyle w:val="Reportbodytextnumbering"/>
        <w:numPr>
          <w:ilvl w:val="0"/>
          <w:numId w:val="0"/>
        </w:numPr>
      </w:pPr>
      <w:r w:rsidRPr="00B91524">
        <w:t xml:space="preserve">During the Environmental Impact Assessment (EIA) phase of the SOWF development process two comprehensive seabed mapping surveys were conducted of the wider Dogger Bank Zone (Tranche A and B) involving the collection of a large volume of geophysical and environmental data across the area. This included acquisition of SSS and MBES data for mapping seabed habitats followed by grab sampling and collection of seabed imagery for ground-truthing the interpretation of the processed geophysical data (Figure F1). The data allowed the production of a detailed biotope map for the entire zone and export cable route options (Appendix </w:t>
      </w:r>
      <w:r w:rsidR="008F4F69" w:rsidRPr="00B91524">
        <w:t>C</w:t>
      </w:r>
      <w:r w:rsidRPr="00B91524">
        <w:t xml:space="preserve">). The biotopes were then grouped into Valued Ecological Receptor (VER) categories for the purposes of assessing the potential impacts of the construction and operational phases of the project (Appendix </w:t>
      </w:r>
      <w:r w:rsidR="008F4F69" w:rsidRPr="00B91524">
        <w:t>D</w:t>
      </w:r>
      <w:r w:rsidRPr="00B91524">
        <w:t xml:space="preserve">). </w:t>
      </w:r>
      <w:bookmarkStart w:id="119" w:name="_Hlk24697068"/>
      <w:r w:rsidRPr="00B91524">
        <w:t xml:space="preserve">A full description of the VER categories identified during the EIA is provided in Appendix </w:t>
      </w:r>
      <w:r w:rsidR="008F4F69" w:rsidRPr="00B91524">
        <w:t>E</w:t>
      </w:r>
      <w:r w:rsidRPr="00B91524">
        <w:t xml:space="preserve"> and the predicted effects of the development and operation of SOWF on benthic habitats is outlined in Appendix </w:t>
      </w:r>
      <w:r w:rsidR="008F4F69" w:rsidRPr="00B91524">
        <w:t>F</w:t>
      </w:r>
      <w:r w:rsidRPr="00B91524">
        <w:t>.</w:t>
      </w:r>
      <w:bookmarkEnd w:id="119"/>
    </w:p>
    <w:p w14:paraId="003C9990" w14:textId="6D1BF64C" w:rsidR="00BE32FA" w:rsidRPr="00B91524" w:rsidRDefault="00BE32FA" w:rsidP="00BE32FA">
      <w:pPr>
        <w:pStyle w:val="Reportbodytextnumbering"/>
        <w:numPr>
          <w:ilvl w:val="0"/>
          <w:numId w:val="0"/>
        </w:numPr>
      </w:pPr>
      <w:r w:rsidRPr="00B91524">
        <w:t>Due to the age of the existing benthic survey data for the SOWF array and export cable corridor areas (7-8 years old), SOWFL conducted a Drop-Down Video (DDV) survey along specific sections of the export cable up to 12nm offshore in June 2019.  This was a means of confirming the presence/absence of potential reef habitats in a number of key Areas of Interest (AOI) including within and in the vicinity of the proposed Horizontal Directional Drill (HDD) area (see Appendix C of the BMP Supporting Studies Document for full details (SOWFL, 2019a</w:t>
      </w:r>
      <w:r w:rsidRPr="00B91524">
        <w:rPr>
          <w:vertAlign w:val="superscript"/>
        </w:rPr>
        <w:footnoteReference w:id="3"/>
      </w:r>
      <w:r w:rsidRPr="00B91524">
        <w:t xml:space="preserve">)). The results were used to inform a preliminary cable routing workshop involving archaeological and ecological specialists and were presented to the MMO and Natural England at the project update meeting held on 20th August 2019. The results generally aligned with the habitat/biotope mapping derived from the 2010-2011 </w:t>
      </w:r>
      <w:proofErr w:type="spellStart"/>
      <w:r w:rsidRPr="00B91524">
        <w:t>characterisation</w:t>
      </w:r>
      <w:proofErr w:type="spellEnd"/>
      <w:r w:rsidRPr="00B91524">
        <w:t xml:space="preserve"> survey data and </w:t>
      </w:r>
      <w:r w:rsidRPr="00B91524">
        <w:lastRenderedPageBreak/>
        <w:t xml:space="preserve">confirmed the presence of cobble and bedrock reef habitat as well as discrete patches of the Section 41 priority habitat ‘Peat and Clay Exposures’. </w:t>
      </w:r>
    </w:p>
    <w:p w14:paraId="2FDBD1ED" w14:textId="77777777" w:rsidR="00BE32FA" w:rsidRPr="00B91524" w:rsidRDefault="00BE32FA" w:rsidP="00AD53E7">
      <w:pPr>
        <w:pStyle w:val="Appendixsubheading2"/>
        <w:rPr>
          <w:rFonts w:eastAsia="Calibri Light"/>
        </w:rPr>
      </w:pPr>
      <w:bookmarkStart w:id="120" w:name="_Toc46090245"/>
      <w:r w:rsidRPr="00B91524">
        <w:rPr>
          <w:rFonts w:eastAsia="Calibri Light"/>
        </w:rPr>
        <w:t>Historic Data Sources 1951-2008</w:t>
      </w:r>
      <w:bookmarkEnd w:id="120"/>
    </w:p>
    <w:p w14:paraId="1F1135D0" w14:textId="062F7EBB" w:rsidR="00BE32FA" w:rsidRPr="00B91524" w:rsidRDefault="00BE32FA" w:rsidP="00BE32FA">
      <w:pPr>
        <w:pStyle w:val="Reportbodytextnumbering"/>
        <w:numPr>
          <w:ilvl w:val="0"/>
          <w:numId w:val="0"/>
        </w:numPr>
      </w:pPr>
      <w:bookmarkStart w:id="121" w:name="_Hlk41480568"/>
      <w:r w:rsidRPr="00B91524">
        <w:t xml:space="preserve">Comprehensive historical information regarding spatial and temporal variability in the distribution of </w:t>
      </w:r>
      <w:proofErr w:type="spellStart"/>
      <w:r w:rsidRPr="00B91524">
        <w:t>infaunal</w:t>
      </w:r>
      <w:proofErr w:type="spellEnd"/>
      <w:r w:rsidRPr="00B91524">
        <w:t xml:space="preserve"> communities present in association with the Dogger Bank habitats is provided by </w:t>
      </w:r>
      <w:proofErr w:type="spellStart"/>
      <w:r w:rsidRPr="00B91524">
        <w:t>Kröncke</w:t>
      </w:r>
      <w:proofErr w:type="spellEnd"/>
      <w:r w:rsidRPr="00B91524">
        <w:t xml:space="preserve"> (1990, 1991), </w:t>
      </w:r>
      <w:proofErr w:type="spellStart"/>
      <w:r w:rsidRPr="00B91524">
        <w:t>Kröncke</w:t>
      </w:r>
      <w:proofErr w:type="spellEnd"/>
      <w:r w:rsidRPr="00B91524">
        <w:t xml:space="preserve"> and </w:t>
      </w:r>
      <w:proofErr w:type="spellStart"/>
      <w:r w:rsidRPr="00B91524">
        <w:t>Rachor</w:t>
      </w:r>
      <w:proofErr w:type="spellEnd"/>
      <w:r w:rsidRPr="00B91524">
        <w:t xml:space="preserve"> (1992), </w:t>
      </w:r>
      <w:proofErr w:type="spellStart"/>
      <w:r w:rsidRPr="00B91524">
        <w:t>Kröncke</w:t>
      </w:r>
      <w:proofErr w:type="spellEnd"/>
      <w:r w:rsidRPr="00B91524">
        <w:t xml:space="preserve"> and </w:t>
      </w:r>
      <w:proofErr w:type="spellStart"/>
      <w:r w:rsidRPr="00B91524">
        <w:t>Knust</w:t>
      </w:r>
      <w:proofErr w:type="spellEnd"/>
      <w:r w:rsidRPr="00B91524">
        <w:t xml:space="preserve"> (1995), </w:t>
      </w:r>
      <w:proofErr w:type="spellStart"/>
      <w:r w:rsidRPr="00B91524">
        <w:t>Wieking</w:t>
      </w:r>
      <w:proofErr w:type="spellEnd"/>
      <w:r w:rsidRPr="00B91524">
        <w:t xml:space="preserve"> and </w:t>
      </w:r>
      <w:proofErr w:type="spellStart"/>
      <w:r w:rsidRPr="00B91524">
        <w:t>Kröncke</w:t>
      </w:r>
      <w:proofErr w:type="spellEnd"/>
      <w:r w:rsidRPr="00B91524">
        <w:t xml:space="preserve"> (2003, 2005) </w:t>
      </w:r>
      <w:bookmarkEnd w:id="121"/>
      <w:r w:rsidRPr="00B91524">
        <w:t xml:space="preserve">(Figure F1). As part of these studies, a number of historical time series stations/transects were established and sampled between 1951-2007. </w:t>
      </w:r>
      <w:bookmarkStart w:id="122" w:name="_Hlk41480524"/>
      <w:r w:rsidRPr="00B91524">
        <w:t xml:space="preserve">More recent survey work was conducted during April 2008 to provide data and evidence to support the recommendation of Dogger Bank to the European Commission in 2011 as a SAC. </w:t>
      </w:r>
      <w:bookmarkEnd w:id="122"/>
      <w:r w:rsidRPr="00B91524">
        <w:t xml:space="preserve">This </w:t>
      </w:r>
      <w:proofErr w:type="spellStart"/>
      <w:r w:rsidRPr="00B91524">
        <w:t>characterisation</w:t>
      </w:r>
      <w:proofErr w:type="spellEnd"/>
      <w:r w:rsidRPr="00B91524">
        <w:t xml:space="preserve"> survey incorporated both MBES survey and ground-truthing elements (Hamon grab and seabed imagery) and the results of which largely supported those reported by previous historical comparative studies (</w:t>
      </w:r>
      <w:proofErr w:type="spellStart"/>
      <w:r w:rsidRPr="00B91524">
        <w:t>Diesing</w:t>
      </w:r>
      <w:proofErr w:type="spellEnd"/>
      <w:r w:rsidRPr="00B91524">
        <w:t xml:space="preserve"> </w:t>
      </w:r>
      <w:r w:rsidRPr="00B91524">
        <w:rPr>
          <w:i/>
          <w:iCs/>
        </w:rPr>
        <w:t>et al</w:t>
      </w:r>
      <w:r w:rsidRPr="00B91524">
        <w:t>. 2009).</w:t>
      </w:r>
    </w:p>
    <w:p w14:paraId="724A1DB6" w14:textId="2A55367B" w:rsidR="00BE32FA" w:rsidRPr="00B91524" w:rsidRDefault="00BE32FA" w:rsidP="00AD53E7">
      <w:pPr>
        <w:pStyle w:val="Appendixsubheading2"/>
        <w:rPr>
          <w:rFonts w:eastAsia="Calibri Light"/>
        </w:rPr>
      </w:pPr>
      <w:bookmarkStart w:id="123" w:name="_Toc46090246"/>
      <w:r w:rsidRPr="00B91524">
        <w:rPr>
          <w:rFonts w:eastAsia="Calibri Light"/>
        </w:rPr>
        <w:t>Dogger Bank SAC Monitoring 2014</w:t>
      </w:r>
      <w:bookmarkEnd w:id="123"/>
    </w:p>
    <w:p w14:paraId="2062D551" w14:textId="78B9B678" w:rsidR="00BE32FA" w:rsidRPr="00B91524" w:rsidRDefault="00BE32FA" w:rsidP="00BE32FA">
      <w:pPr>
        <w:pStyle w:val="Reportbodytextnumbering"/>
        <w:numPr>
          <w:ilvl w:val="0"/>
          <w:numId w:val="0"/>
        </w:numPr>
      </w:pPr>
      <w:r w:rsidRPr="00B91524">
        <w:t xml:space="preserve">In 2014, a pilot monitoring survey at the Dogger Bank Site of Community Importance (SCI) (now SAC) was carried out collaboratively, between the Joint Nature Conservation Committee (JNCC) and </w:t>
      </w:r>
      <w:bookmarkStart w:id="124" w:name="_Hlk42000243"/>
      <w:r w:rsidRPr="00B91524">
        <w:t>Centre for Environment, Fisheries and Aquaculture Science</w:t>
      </w:r>
      <w:bookmarkEnd w:id="124"/>
      <w:r w:rsidRPr="00B91524">
        <w:t xml:space="preserve"> (</w:t>
      </w:r>
      <w:proofErr w:type="spellStart"/>
      <w:r w:rsidRPr="00B91524">
        <w:t>Cefas</w:t>
      </w:r>
      <w:proofErr w:type="spellEnd"/>
      <w:r w:rsidRPr="00B91524">
        <w:t xml:space="preserve">). The survey gathered ‘baseline’ data to help inform on the effectiveness of several proposed fishery management areas and to investigate changes in biological communities along a fishing pressure gradient. The survey involved the collection of approximately 500 </w:t>
      </w:r>
      <w:proofErr w:type="spellStart"/>
      <w:r w:rsidRPr="00B91524">
        <w:t>macrobenthic</w:t>
      </w:r>
      <w:proofErr w:type="spellEnd"/>
      <w:r w:rsidRPr="00B91524">
        <w:t xml:space="preserve"> and PSD samples, 1,500 images and 23.5 hours of video footage of the seabed across the Dogger Bank Annex I Sandbank feature. Following a request to the JNCC, the full </w:t>
      </w:r>
      <w:proofErr w:type="spellStart"/>
      <w:r w:rsidRPr="00B91524">
        <w:t>macrobenthic</w:t>
      </w:r>
      <w:proofErr w:type="spellEnd"/>
      <w:r w:rsidRPr="00B91524">
        <w:t>, PSD and seabed imagery datasets have been made available to SOWFL to help inform the development of the BMP. These datasets have also been used alongside newly acquired geophysical survey data to help ensure geotechnical sampling locations sampled during the 2020 SI survey have not conflicted with areas likely to constitute benthic habitats of CEEI.</w:t>
      </w:r>
    </w:p>
    <w:p w14:paraId="0A9E4431" w14:textId="656F6C13" w:rsidR="00BE32FA" w:rsidRPr="00B91524" w:rsidRDefault="00BE32FA" w:rsidP="00AD53E7">
      <w:pPr>
        <w:pStyle w:val="Appendixsubheading2"/>
        <w:rPr>
          <w:rFonts w:eastAsia="Calibri Light"/>
        </w:rPr>
      </w:pPr>
      <w:bookmarkStart w:id="125" w:name="_Toc46090247"/>
      <w:r w:rsidRPr="00B91524">
        <w:rPr>
          <w:rFonts w:eastAsia="Calibri Light"/>
        </w:rPr>
        <w:t>Long-Term Monitoring Data</w:t>
      </w:r>
      <w:bookmarkEnd w:id="125"/>
    </w:p>
    <w:p w14:paraId="74AAD561" w14:textId="0775559C" w:rsidR="00BE32FA" w:rsidRPr="00B91524" w:rsidRDefault="00BE32FA" w:rsidP="00BE32FA">
      <w:pPr>
        <w:pStyle w:val="Reportbodytextnumbering"/>
        <w:numPr>
          <w:ilvl w:val="0"/>
          <w:numId w:val="0"/>
        </w:numPr>
      </w:pPr>
      <w:r w:rsidRPr="00B91524">
        <w:t xml:space="preserve">The Department of Marine Zoology at the SRI in Frankfurt am Main has been carrying out annual investigations of the mega-epibenthos on the Dogger Bank. They have sampled at 37 stations since 1991 with a 2 m beam trawl and a ring dredge and </w:t>
      </w:r>
      <w:proofErr w:type="spellStart"/>
      <w:r w:rsidRPr="00B91524">
        <w:t>macrobenthic</w:t>
      </w:r>
      <w:proofErr w:type="spellEnd"/>
      <w:r w:rsidRPr="00B91524">
        <w:t xml:space="preserve"> investigations at a number of these stations in 1991 and 2004.  SOWFL </w:t>
      </w:r>
      <w:r w:rsidR="00B050F5" w:rsidRPr="00B91524">
        <w:t>have been</w:t>
      </w:r>
      <w:r w:rsidRPr="00B91524">
        <w:t xml:space="preserve"> in discussions with SRI </w:t>
      </w:r>
      <w:r w:rsidR="00B050F5" w:rsidRPr="00B91524">
        <w:t xml:space="preserve">since 2018 </w:t>
      </w:r>
      <w:r w:rsidRPr="00B91524">
        <w:t xml:space="preserve">in relation to the use of these long-term monitoring datasets to inform the final preconstruction baseline sampling design and for addressing concerns raised by </w:t>
      </w:r>
      <w:proofErr w:type="spellStart"/>
      <w:r w:rsidRPr="00B91524">
        <w:t>Cefas</w:t>
      </w:r>
      <w:proofErr w:type="spellEnd"/>
      <w:r w:rsidRPr="00B91524">
        <w:t xml:space="preserve"> in relation to potential regional scale cumulative impacts of the planned Sofia, Dogger Bank A, B and C offshore wind farms on the Dogger Bank SAC sandbank feature.</w:t>
      </w:r>
      <w:r w:rsidR="00587C01" w:rsidRPr="00B91524">
        <w:t xml:space="preserve"> </w:t>
      </w:r>
    </w:p>
    <w:p w14:paraId="58C8D250" w14:textId="59363AC4" w:rsidR="00BE32FA" w:rsidRPr="00B91524" w:rsidRDefault="00BE32FA" w:rsidP="00BE32FA">
      <w:pPr>
        <w:pStyle w:val="Reportbodytextnumbering"/>
        <w:numPr>
          <w:ilvl w:val="0"/>
          <w:numId w:val="0"/>
        </w:numPr>
      </w:pPr>
      <w:r w:rsidRPr="00B91524">
        <w:t xml:space="preserve">Furthermore, SRI </w:t>
      </w:r>
      <w:r w:rsidR="00F16EBA" w:rsidRPr="00B91524">
        <w:t>incorporated</w:t>
      </w:r>
      <w:r w:rsidR="00E30BAF" w:rsidRPr="00B91524">
        <w:t xml:space="preserve"> </w:t>
      </w:r>
      <w:r w:rsidRPr="00B91524">
        <w:t>additional</w:t>
      </w:r>
      <w:r w:rsidR="00E30BAF" w:rsidRPr="00B91524">
        <w:t xml:space="preserve"> 0.1 m</w:t>
      </w:r>
      <w:r w:rsidR="00E30BAF" w:rsidRPr="00B91524">
        <w:rPr>
          <w:vertAlign w:val="superscript"/>
        </w:rPr>
        <w:t>2</w:t>
      </w:r>
      <w:r w:rsidR="00E30BAF" w:rsidRPr="00B91524">
        <w:t xml:space="preserve"> Hamon</w:t>
      </w:r>
      <w:r w:rsidRPr="00B91524">
        <w:t xml:space="preserve"> grab sampling </w:t>
      </w:r>
      <w:r w:rsidR="00E30BAF" w:rsidRPr="00B91524">
        <w:t xml:space="preserve">at a subset of their 37 long-term monitoring stations </w:t>
      </w:r>
      <w:r w:rsidRPr="00B91524">
        <w:t>to augment the grab samples to collected during SOWFL’s SI ground-truthing (</w:t>
      </w:r>
      <w:proofErr w:type="spellStart"/>
      <w:r w:rsidRPr="00B91524">
        <w:t>characterisation</w:t>
      </w:r>
      <w:proofErr w:type="spellEnd"/>
      <w:r w:rsidRPr="00B91524">
        <w:t xml:space="preserve">) survey in July/August 2020 (see below). These additional samples </w:t>
      </w:r>
      <w:r w:rsidR="00E30BAF" w:rsidRPr="00B91524">
        <w:t xml:space="preserve">subsequently </w:t>
      </w:r>
      <w:r w:rsidR="00657297" w:rsidRPr="00B91524">
        <w:t xml:space="preserve">underwent </w:t>
      </w:r>
      <w:proofErr w:type="spellStart"/>
      <w:r w:rsidRPr="00B91524">
        <w:t>macrobenthic</w:t>
      </w:r>
      <w:proofErr w:type="spellEnd"/>
      <w:r w:rsidRPr="00B91524">
        <w:t xml:space="preserve"> and PSD analysis and </w:t>
      </w:r>
      <w:r w:rsidR="00657297" w:rsidRPr="00B91524">
        <w:t xml:space="preserve">were </w:t>
      </w:r>
      <w:r w:rsidRPr="00B91524">
        <w:t xml:space="preserve">used </w:t>
      </w:r>
      <w:r w:rsidR="00657297" w:rsidRPr="00B91524">
        <w:t xml:space="preserve">to train the predictive modelling developed to </w:t>
      </w:r>
      <w:r w:rsidRPr="00B91524">
        <w:t xml:space="preserve">update </w:t>
      </w:r>
      <w:r w:rsidR="00657297" w:rsidRPr="00B91524">
        <w:t xml:space="preserve">the </w:t>
      </w:r>
      <w:r w:rsidRPr="00B91524">
        <w:t>habitat mapping for the area.</w:t>
      </w:r>
    </w:p>
    <w:p w14:paraId="2B392C71" w14:textId="4E9A1C66" w:rsidR="00BE32FA" w:rsidRPr="00B91524" w:rsidRDefault="00BE32FA" w:rsidP="00BE32FA">
      <w:pPr>
        <w:pStyle w:val="Reportbodytextnumbering"/>
        <w:numPr>
          <w:ilvl w:val="0"/>
          <w:numId w:val="0"/>
        </w:numPr>
      </w:pPr>
    </w:p>
    <w:p w14:paraId="4B6ABBAC" w14:textId="49F9C8B3" w:rsidR="00BE32FA" w:rsidRPr="00B91524" w:rsidRDefault="00BE32FA" w:rsidP="00BE32FA">
      <w:pPr>
        <w:pStyle w:val="Reportbodytextnumbering"/>
        <w:numPr>
          <w:ilvl w:val="0"/>
          <w:numId w:val="0"/>
        </w:numPr>
      </w:pPr>
    </w:p>
    <w:p w14:paraId="0E954702" w14:textId="0FD1D240" w:rsidR="00087666" w:rsidRPr="00B91524" w:rsidRDefault="00087666" w:rsidP="00BE32FA">
      <w:pPr>
        <w:pStyle w:val="Reportbodytextnumbering"/>
        <w:numPr>
          <w:ilvl w:val="0"/>
          <w:numId w:val="0"/>
        </w:numPr>
      </w:pPr>
    </w:p>
    <w:p w14:paraId="7F7B8F67" w14:textId="42395E6D" w:rsidR="00087666" w:rsidRPr="00B91524" w:rsidRDefault="00087666" w:rsidP="00BE32FA">
      <w:pPr>
        <w:pStyle w:val="Reportbodytextnumbering"/>
        <w:numPr>
          <w:ilvl w:val="0"/>
          <w:numId w:val="0"/>
        </w:numPr>
      </w:pPr>
    </w:p>
    <w:p w14:paraId="2DE846C1" w14:textId="42EF14B5" w:rsidR="00087666" w:rsidRPr="00B91524" w:rsidRDefault="00087666" w:rsidP="00BE32FA">
      <w:pPr>
        <w:pStyle w:val="Reportbodytextnumbering"/>
        <w:numPr>
          <w:ilvl w:val="0"/>
          <w:numId w:val="0"/>
        </w:numPr>
      </w:pPr>
    </w:p>
    <w:p w14:paraId="68FA3F3D" w14:textId="6479AE77" w:rsidR="00087666" w:rsidRPr="00B91524" w:rsidRDefault="00087666" w:rsidP="00BE32FA">
      <w:pPr>
        <w:pStyle w:val="Reportbodytextnumbering"/>
        <w:numPr>
          <w:ilvl w:val="0"/>
          <w:numId w:val="0"/>
        </w:numPr>
      </w:pPr>
      <w:r w:rsidRPr="00B91524">
        <w:rPr>
          <w:noProof/>
        </w:rPr>
        <w:lastRenderedPageBreak/>
        <w:drawing>
          <wp:anchor distT="0" distB="0" distL="114300" distR="114300" simplePos="0" relativeHeight="251703807" behindDoc="0" locked="0" layoutInCell="1" allowOverlap="1" wp14:anchorId="653F4562" wp14:editId="2951BECE">
            <wp:simplePos x="0" y="0"/>
            <wp:positionH relativeFrom="margin">
              <wp:align>center</wp:align>
            </wp:positionH>
            <wp:positionV relativeFrom="margin">
              <wp:posOffset>98425</wp:posOffset>
            </wp:positionV>
            <wp:extent cx="5838825" cy="3985971"/>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31" cstate="print">
                      <a:extLst>
                        <a:ext uri="{28A0092B-C50C-407E-A947-70E740481C1C}">
                          <a14:useLocalDpi xmlns:a14="http://schemas.microsoft.com/office/drawing/2010/main" val="0"/>
                        </a:ext>
                      </a:extLst>
                    </a:blip>
                    <a:srcRect b="3474"/>
                    <a:stretch>
                      <a:fillRect/>
                    </a:stretch>
                  </pic:blipFill>
                  <pic:spPr bwMode="auto">
                    <a:xfrm>
                      <a:off x="0" y="0"/>
                      <a:ext cx="5838825" cy="398597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83D3ACF" w14:textId="2A14BDE5" w:rsidR="00087666" w:rsidRPr="00B91524" w:rsidRDefault="00087666" w:rsidP="00BE32FA">
      <w:pPr>
        <w:pStyle w:val="Reportbodytextnumbering"/>
        <w:numPr>
          <w:ilvl w:val="0"/>
          <w:numId w:val="0"/>
        </w:numPr>
      </w:pPr>
    </w:p>
    <w:p w14:paraId="543B41E9" w14:textId="3AC84E11" w:rsidR="00087666" w:rsidRPr="00B91524" w:rsidRDefault="00087666" w:rsidP="00BE32FA">
      <w:pPr>
        <w:pStyle w:val="Reportbodytextnumbering"/>
        <w:numPr>
          <w:ilvl w:val="0"/>
          <w:numId w:val="0"/>
        </w:numPr>
      </w:pPr>
    </w:p>
    <w:p w14:paraId="720F0F7C" w14:textId="518E8B0F" w:rsidR="00087666" w:rsidRPr="00B91524" w:rsidRDefault="00087666" w:rsidP="00BE32FA">
      <w:pPr>
        <w:pStyle w:val="Reportbodytextnumbering"/>
        <w:numPr>
          <w:ilvl w:val="0"/>
          <w:numId w:val="0"/>
        </w:numPr>
      </w:pPr>
    </w:p>
    <w:p w14:paraId="01378EF6" w14:textId="673565D1" w:rsidR="00087666" w:rsidRPr="00B91524" w:rsidRDefault="00087666" w:rsidP="00BE32FA">
      <w:pPr>
        <w:pStyle w:val="Reportbodytextnumbering"/>
        <w:numPr>
          <w:ilvl w:val="0"/>
          <w:numId w:val="0"/>
        </w:numPr>
      </w:pPr>
    </w:p>
    <w:p w14:paraId="4136E753" w14:textId="12FD6A73" w:rsidR="00087666" w:rsidRPr="00B91524" w:rsidRDefault="00087666" w:rsidP="00BE32FA">
      <w:pPr>
        <w:pStyle w:val="Reportbodytextnumbering"/>
        <w:numPr>
          <w:ilvl w:val="0"/>
          <w:numId w:val="0"/>
        </w:numPr>
      </w:pPr>
    </w:p>
    <w:p w14:paraId="49604BA3" w14:textId="0E427B44" w:rsidR="00087666" w:rsidRPr="00B91524" w:rsidRDefault="00087666" w:rsidP="00BE32FA">
      <w:pPr>
        <w:pStyle w:val="Reportbodytextnumbering"/>
        <w:numPr>
          <w:ilvl w:val="0"/>
          <w:numId w:val="0"/>
        </w:numPr>
      </w:pPr>
    </w:p>
    <w:p w14:paraId="60D1ACAC" w14:textId="226EA506" w:rsidR="00087666" w:rsidRPr="00B91524" w:rsidRDefault="00087666" w:rsidP="00BE32FA">
      <w:pPr>
        <w:pStyle w:val="Reportbodytextnumbering"/>
        <w:numPr>
          <w:ilvl w:val="0"/>
          <w:numId w:val="0"/>
        </w:numPr>
      </w:pPr>
    </w:p>
    <w:p w14:paraId="58AEA068" w14:textId="39E61537" w:rsidR="00BE32FA" w:rsidRPr="00B91524" w:rsidRDefault="00BE32FA" w:rsidP="00BE32FA">
      <w:pPr>
        <w:pStyle w:val="Reportbodytextnumbering"/>
        <w:numPr>
          <w:ilvl w:val="0"/>
          <w:numId w:val="0"/>
        </w:numPr>
      </w:pPr>
    </w:p>
    <w:p w14:paraId="3E4C9757" w14:textId="1223B9D6" w:rsidR="00BE32FA" w:rsidRPr="00B91524" w:rsidRDefault="00BE32FA" w:rsidP="00BE32FA">
      <w:pPr>
        <w:pStyle w:val="Reportbodytextnumbering"/>
        <w:numPr>
          <w:ilvl w:val="0"/>
          <w:numId w:val="0"/>
        </w:numPr>
      </w:pPr>
    </w:p>
    <w:p w14:paraId="1B56AB1E" w14:textId="4D990D5E" w:rsidR="00BE32FA" w:rsidRPr="00B91524" w:rsidRDefault="00BE32FA" w:rsidP="00BE32FA">
      <w:pPr>
        <w:pStyle w:val="Reportbodytextnumbering"/>
        <w:numPr>
          <w:ilvl w:val="0"/>
          <w:numId w:val="0"/>
        </w:numPr>
      </w:pPr>
    </w:p>
    <w:p w14:paraId="5D049300" w14:textId="459FFBA8" w:rsidR="00BE32FA" w:rsidRPr="00B91524" w:rsidRDefault="00BE32FA" w:rsidP="00BD0ED0">
      <w:pPr>
        <w:pStyle w:val="Reportbodytextnumbering"/>
        <w:numPr>
          <w:ilvl w:val="0"/>
          <w:numId w:val="0"/>
        </w:numPr>
      </w:pPr>
    </w:p>
    <w:p w14:paraId="2DD6CBEB" w14:textId="08E25878" w:rsidR="00BD0ED0" w:rsidRPr="00B91524" w:rsidRDefault="00BD0ED0" w:rsidP="00BD0ED0">
      <w:pPr>
        <w:pStyle w:val="Reportbodytextnumbering"/>
        <w:numPr>
          <w:ilvl w:val="0"/>
          <w:numId w:val="0"/>
        </w:numPr>
      </w:pPr>
    </w:p>
    <w:p w14:paraId="13885526" w14:textId="6E68B215" w:rsidR="00BE32FA" w:rsidRPr="00B91524" w:rsidRDefault="00843131" w:rsidP="00BE32FA">
      <w:pPr>
        <w:rPr>
          <w:lang w:val="en-US" w:eastAsia="en-GB"/>
        </w:rPr>
      </w:pPr>
      <w:r w:rsidRPr="00B91524">
        <w:rPr>
          <w:noProof/>
        </w:rPr>
        <w:drawing>
          <wp:anchor distT="0" distB="0" distL="114300" distR="114300" simplePos="0" relativeHeight="251704831" behindDoc="1" locked="0" layoutInCell="1" allowOverlap="1" wp14:anchorId="3CA7D4FA" wp14:editId="4184BC33">
            <wp:simplePos x="0" y="0"/>
            <wp:positionH relativeFrom="margin">
              <wp:align>right</wp:align>
            </wp:positionH>
            <wp:positionV relativeFrom="paragraph">
              <wp:posOffset>144145</wp:posOffset>
            </wp:positionV>
            <wp:extent cx="5819775" cy="3728758"/>
            <wp:effectExtent l="0" t="0" r="0" b="508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2" cstate="print">
                      <a:extLst>
                        <a:ext uri="{28A0092B-C50C-407E-A947-70E740481C1C}">
                          <a14:useLocalDpi xmlns:a14="http://schemas.microsoft.com/office/drawing/2010/main" val="0"/>
                        </a:ext>
                      </a:extLst>
                    </a:blip>
                    <a:srcRect t="703" r="954" b="3711"/>
                    <a:stretch>
                      <a:fillRect/>
                    </a:stretch>
                  </pic:blipFill>
                  <pic:spPr bwMode="auto">
                    <a:xfrm>
                      <a:off x="0" y="0"/>
                      <a:ext cx="5819775" cy="3728758"/>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03746BA" w14:textId="01691B98" w:rsidR="00BE32FA" w:rsidRPr="00B91524" w:rsidRDefault="00BE32FA" w:rsidP="00BE32FA">
      <w:pPr>
        <w:rPr>
          <w:lang w:val="en-US" w:eastAsia="en-GB"/>
        </w:rPr>
      </w:pPr>
    </w:p>
    <w:p w14:paraId="38543A8F" w14:textId="01325F86" w:rsidR="00BE32FA" w:rsidRPr="00B91524" w:rsidRDefault="00BE32FA" w:rsidP="00BE32FA">
      <w:pPr>
        <w:rPr>
          <w:lang w:val="en-US" w:eastAsia="en-GB"/>
        </w:rPr>
      </w:pPr>
    </w:p>
    <w:p w14:paraId="3CA9512F" w14:textId="469C3F55" w:rsidR="00BE32FA" w:rsidRPr="00B91524" w:rsidRDefault="00BE32FA" w:rsidP="00BE32FA">
      <w:pPr>
        <w:rPr>
          <w:lang w:val="en-US" w:eastAsia="en-GB"/>
        </w:rPr>
      </w:pPr>
    </w:p>
    <w:p w14:paraId="73366FC0" w14:textId="0BBC8A4E" w:rsidR="00BE32FA" w:rsidRPr="00B91524" w:rsidRDefault="00BE32FA" w:rsidP="00BE32FA">
      <w:pPr>
        <w:rPr>
          <w:lang w:val="en-US" w:eastAsia="en-GB"/>
        </w:rPr>
      </w:pPr>
    </w:p>
    <w:p w14:paraId="2129F2F6" w14:textId="615A9118" w:rsidR="00BE32FA" w:rsidRPr="00B91524" w:rsidRDefault="00BE32FA" w:rsidP="00BE32FA">
      <w:pPr>
        <w:rPr>
          <w:lang w:val="en-US" w:eastAsia="en-GB"/>
        </w:rPr>
      </w:pPr>
    </w:p>
    <w:p w14:paraId="207B6E0B" w14:textId="77777777" w:rsidR="00BE32FA" w:rsidRPr="00B91524" w:rsidRDefault="00BE32FA" w:rsidP="00BE32FA">
      <w:pPr>
        <w:rPr>
          <w:lang w:val="en-US" w:eastAsia="en-GB"/>
        </w:rPr>
      </w:pPr>
    </w:p>
    <w:p w14:paraId="13A1490E" w14:textId="77777777" w:rsidR="00BE32FA" w:rsidRPr="00B91524" w:rsidRDefault="00BE32FA" w:rsidP="00BE32FA">
      <w:pPr>
        <w:rPr>
          <w:lang w:val="en-US" w:eastAsia="en-GB"/>
        </w:rPr>
      </w:pPr>
    </w:p>
    <w:p w14:paraId="2D7C5EC0" w14:textId="70B7CB79" w:rsidR="00BE32FA" w:rsidRPr="00B91524" w:rsidRDefault="00BE32FA" w:rsidP="00BE32FA">
      <w:pPr>
        <w:rPr>
          <w:lang w:val="en-US" w:eastAsia="en-GB"/>
        </w:rPr>
      </w:pPr>
    </w:p>
    <w:p w14:paraId="174BBC3A" w14:textId="77777777" w:rsidR="00BE32FA" w:rsidRPr="00B91524" w:rsidRDefault="00BE32FA" w:rsidP="00BE32FA">
      <w:pPr>
        <w:rPr>
          <w:lang w:val="en-US" w:eastAsia="en-GB"/>
        </w:rPr>
      </w:pPr>
    </w:p>
    <w:p w14:paraId="4F80B3B1" w14:textId="77777777" w:rsidR="00BE32FA" w:rsidRPr="00B91524" w:rsidRDefault="00BE32FA" w:rsidP="00BE32FA">
      <w:pPr>
        <w:rPr>
          <w:lang w:val="en-US" w:eastAsia="en-GB"/>
        </w:rPr>
      </w:pPr>
    </w:p>
    <w:p w14:paraId="177A771A" w14:textId="7E710D5D" w:rsidR="00BE32FA" w:rsidRPr="00B91524" w:rsidRDefault="00BE32FA" w:rsidP="00BE32FA">
      <w:pPr>
        <w:rPr>
          <w:lang w:val="en-US" w:eastAsia="en-GB"/>
        </w:rPr>
      </w:pPr>
    </w:p>
    <w:p w14:paraId="5B748749" w14:textId="77777777" w:rsidR="00BE32FA" w:rsidRPr="00B91524" w:rsidRDefault="00BE32FA" w:rsidP="00BE32FA">
      <w:pPr>
        <w:pStyle w:val="Caption"/>
        <w:rPr>
          <w:rFonts w:eastAsia="Calibri Light" w:cstheme="minorBidi"/>
          <w:szCs w:val="22"/>
          <w:lang w:val="en-US" w:eastAsia="en-GB"/>
        </w:rPr>
      </w:pPr>
    </w:p>
    <w:p w14:paraId="0B87A937" w14:textId="77777777" w:rsidR="00BE32FA" w:rsidRPr="00B91524" w:rsidRDefault="00BE32FA" w:rsidP="00BE32FA">
      <w:pPr>
        <w:pStyle w:val="Caption"/>
        <w:rPr>
          <w:rFonts w:eastAsia="Calibri Light" w:cstheme="minorBidi"/>
          <w:szCs w:val="22"/>
          <w:lang w:val="en-US" w:eastAsia="en-GB"/>
        </w:rPr>
      </w:pPr>
    </w:p>
    <w:p w14:paraId="5B890400" w14:textId="4DDBC648" w:rsidR="00BE32FA" w:rsidRPr="00B91524" w:rsidRDefault="00BE32FA" w:rsidP="00BE32FA">
      <w:pPr>
        <w:pStyle w:val="Caption"/>
        <w:rPr>
          <w:rFonts w:eastAsia="Calibri Light" w:cstheme="minorBidi"/>
          <w:szCs w:val="22"/>
          <w:lang w:val="en-US" w:eastAsia="en-GB"/>
        </w:rPr>
      </w:pPr>
    </w:p>
    <w:p w14:paraId="11E261B5" w14:textId="26B50520" w:rsidR="00BE32FA" w:rsidRPr="00B91524" w:rsidRDefault="00BE32FA" w:rsidP="00BE32FA">
      <w:pPr>
        <w:rPr>
          <w:rFonts w:eastAsia="Calibri Light"/>
          <w:lang w:val="en-US" w:eastAsia="en-GB"/>
        </w:rPr>
      </w:pPr>
    </w:p>
    <w:p w14:paraId="26DEB208" w14:textId="77777777" w:rsidR="00843131" w:rsidRPr="00B91524" w:rsidRDefault="00843131" w:rsidP="00BE32FA">
      <w:pPr>
        <w:pStyle w:val="Caption"/>
        <w:rPr>
          <w:rFonts w:eastAsia="Calibri Light" w:cstheme="minorBidi"/>
          <w:szCs w:val="22"/>
          <w:lang w:val="en-US" w:eastAsia="en-GB"/>
        </w:rPr>
      </w:pPr>
    </w:p>
    <w:p w14:paraId="4B707364" w14:textId="1F9B60D6" w:rsidR="00BE32FA" w:rsidRPr="00B91524" w:rsidRDefault="00BE32FA" w:rsidP="00BE32FA">
      <w:pPr>
        <w:pStyle w:val="Caption"/>
      </w:pPr>
      <w:r w:rsidRPr="00B91524">
        <w:rPr>
          <w:rFonts w:eastAsia="Calibri Light" w:cstheme="minorBidi"/>
          <w:szCs w:val="22"/>
          <w:lang w:val="en-US" w:eastAsia="en-GB"/>
        </w:rPr>
        <w:t>Figure F1. Sediment (top) and seabed imagery (bottom) sampling stations visited during previous and planned surveys across the Dogger Bank zone.</w:t>
      </w:r>
      <w:r w:rsidRPr="00B91524">
        <w:t xml:space="preserve"> An interactive web map displaying this data is available </w:t>
      </w:r>
      <w:hyperlink r:id="rId33" w:history="1">
        <w:r w:rsidRPr="00B91524">
          <w:rPr>
            <w:rStyle w:val="Hyperlink"/>
          </w:rPr>
          <w:t>here</w:t>
        </w:r>
      </w:hyperlink>
      <w:r w:rsidRPr="00B91524">
        <w:t>.</w:t>
      </w:r>
    </w:p>
    <w:p w14:paraId="6A66BE4C" w14:textId="029F6672" w:rsidR="00843131" w:rsidRPr="00B91524" w:rsidRDefault="00843131" w:rsidP="00843131"/>
    <w:p w14:paraId="3829C80E" w14:textId="77777777" w:rsidR="00843131" w:rsidRPr="00B91524" w:rsidRDefault="00843131" w:rsidP="00843131"/>
    <w:p w14:paraId="2361A994" w14:textId="39DB6710" w:rsidR="00BE32FA" w:rsidRPr="00B91524" w:rsidRDefault="00BE32FA" w:rsidP="00AD53E7">
      <w:pPr>
        <w:pStyle w:val="Appendixsubheading2"/>
        <w:rPr>
          <w:rFonts w:eastAsia="Calibri Light"/>
        </w:rPr>
      </w:pPr>
      <w:bookmarkStart w:id="126" w:name="_Toc46090248"/>
      <w:r w:rsidRPr="00B91524">
        <w:rPr>
          <w:rFonts w:eastAsia="Calibri Light"/>
        </w:rPr>
        <w:t>site investigations</w:t>
      </w:r>
      <w:bookmarkEnd w:id="126"/>
      <w:r w:rsidRPr="00B91524">
        <w:rPr>
          <w:rFonts w:eastAsia="Calibri Light"/>
        </w:rPr>
        <w:t xml:space="preserve"> </w:t>
      </w:r>
    </w:p>
    <w:p w14:paraId="74B36256" w14:textId="77777777" w:rsidR="00BE32FA" w:rsidRPr="00B91524" w:rsidRDefault="00BE32FA" w:rsidP="00BE32FA">
      <w:pPr>
        <w:pStyle w:val="Reportbodytextnumbering"/>
        <w:numPr>
          <w:ilvl w:val="0"/>
          <w:numId w:val="0"/>
        </w:numPr>
      </w:pPr>
      <w:r w:rsidRPr="00B91524">
        <w:t xml:space="preserve">Throughout spring and summer 2020, SOWFL undertook an engineering (geophysical and geotechnical) site investigation </w:t>
      </w:r>
      <w:proofErr w:type="spellStart"/>
      <w:r w:rsidRPr="00B91524">
        <w:t>programme</w:t>
      </w:r>
      <w:proofErr w:type="spellEnd"/>
      <w:r w:rsidRPr="00B91524">
        <w:t xml:space="preserve"> comprising a series of survey campaigns across the SOWF array area and along the export cable corridor. The SI included collection of high-resolution acoustic data (Order 1A MBES and SSS) at all proposed generation and transmission infrastructure locations including survey coverage buffers as below: </w:t>
      </w:r>
    </w:p>
    <w:p w14:paraId="20D079B3" w14:textId="77777777" w:rsidR="00BE32FA" w:rsidRPr="00B91524" w:rsidRDefault="00BE32FA" w:rsidP="00BE32FA">
      <w:pPr>
        <w:pStyle w:val="Bullet"/>
      </w:pPr>
      <w:r w:rsidRPr="00B91524">
        <w:t>Wind Turbine foundations: buffer areas of approximately 500 m by 500 m would be surveyed around each wind turbine (square area with radius 250m around the centre point of each foundation)</w:t>
      </w:r>
    </w:p>
    <w:p w14:paraId="78D996A0" w14:textId="77777777" w:rsidR="00BE32FA" w:rsidRPr="00B91524" w:rsidRDefault="00BE32FA" w:rsidP="00BE32FA">
      <w:pPr>
        <w:pStyle w:val="Bullet"/>
      </w:pPr>
      <w:r w:rsidRPr="00B91524">
        <w:t>Array cables: buffer areas of 50 m (25 m either side of the cables) along the length of the inter-array cables.</w:t>
      </w:r>
    </w:p>
    <w:p w14:paraId="4E7466B8" w14:textId="77777777" w:rsidR="00BE32FA" w:rsidRPr="00B91524" w:rsidRDefault="00BE32FA" w:rsidP="00BE32FA">
      <w:pPr>
        <w:pStyle w:val="Bullet"/>
      </w:pPr>
      <w:r w:rsidRPr="00B91524">
        <w:t>Offshore Converter Platform: 800m radius around the centre point of the structure (1600 x 1600m square area)</w:t>
      </w:r>
      <w:r w:rsidRPr="00B91524">
        <w:rPr>
          <w:vertAlign w:val="superscript"/>
        </w:rPr>
        <w:footnoteReference w:id="4"/>
      </w:r>
    </w:p>
    <w:p w14:paraId="62957E94" w14:textId="77777777" w:rsidR="00BE32FA" w:rsidRPr="00B91524" w:rsidRDefault="00BE32FA" w:rsidP="00BE32FA">
      <w:pPr>
        <w:pStyle w:val="Bullet"/>
      </w:pPr>
      <w:r w:rsidRPr="00B91524">
        <w:t>Offshore Export Cables: 175m corridor</w:t>
      </w:r>
    </w:p>
    <w:p w14:paraId="1C25D686" w14:textId="77777777" w:rsidR="00BE32FA" w:rsidRPr="00B91524" w:rsidRDefault="00BE32FA" w:rsidP="00BE32FA">
      <w:pPr>
        <w:pStyle w:val="Bullet"/>
      </w:pPr>
      <w:r w:rsidRPr="00B91524">
        <w:t>Horizontal Direction Drill (HDD) nearshore exit point: 500 X 500 area</w:t>
      </w:r>
    </w:p>
    <w:p w14:paraId="72A39596" w14:textId="77777777" w:rsidR="00BE32FA" w:rsidRPr="00B91524" w:rsidRDefault="00BE32FA" w:rsidP="00BE32FA">
      <w:pPr>
        <w:pStyle w:val="Bullet"/>
      </w:pPr>
      <w:r w:rsidRPr="00B91524">
        <w:t>2 Export Cables from nearshore Horizontal Directional Drill (HDD) exit point to landfall (below MLWS): 100 m corridor (25 m either side of each cable and allows for cable separation)</w:t>
      </w:r>
    </w:p>
    <w:p w14:paraId="08AEA391" w14:textId="24A573CF" w:rsidR="00BE32FA" w:rsidRPr="00B91524" w:rsidRDefault="00C04EF1" w:rsidP="00BE32FA">
      <w:pPr>
        <w:pStyle w:val="Reportbodytextnumbering"/>
        <w:numPr>
          <w:ilvl w:val="0"/>
          <w:numId w:val="0"/>
        </w:numPr>
      </w:pPr>
      <w:r w:rsidRPr="00B91524">
        <w:t>Following processing</w:t>
      </w:r>
      <w:r w:rsidR="00BE32FA" w:rsidRPr="00B91524">
        <w:t xml:space="preserve">, the acoustic data </w:t>
      </w:r>
      <w:r w:rsidRPr="00B91524">
        <w:t>underwent</w:t>
      </w:r>
      <w:r w:rsidR="00BE32FA" w:rsidRPr="00B91524">
        <w:t xml:space="preserve"> a detailed review to identify any potential benthic habitats of CEEI </w:t>
      </w:r>
      <w:r w:rsidRPr="00B91524">
        <w:t>that were subsequently</w:t>
      </w:r>
      <w:r w:rsidR="00BE32FA" w:rsidRPr="00B91524">
        <w:t xml:space="preserve"> ground-</w:t>
      </w:r>
      <w:proofErr w:type="spellStart"/>
      <w:r w:rsidR="00BE32FA" w:rsidRPr="00B91524">
        <w:t>truthed</w:t>
      </w:r>
      <w:proofErr w:type="spellEnd"/>
      <w:r w:rsidR="00BE32FA" w:rsidRPr="00B91524">
        <w:t xml:space="preserve"> during a ground-truthing survey </w:t>
      </w:r>
      <w:r w:rsidRPr="00B91524">
        <w:t xml:space="preserve">undertaken in 2020 </w:t>
      </w:r>
      <w:r w:rsidR="00BE32FA" w:rsidRPr="00B91524">
        <w:t>(see below). The final processed geophysical data</w:t>
      </w:r>
      <w:r w:rsidR="00872A6C" w:rsidRPr="00B91524">
        <w:t xml:space="preserve"> and grou</w:t>
      </w:r>
      <w:r w:rsidR="00790D33" w:rsidRPr="00B91524">
        <w:t>n</w:t>
      </w:r>
      <w:r w:rsidR="00872A6C" w:rsidRPr="00B91524">
        <w:t>d-truthing information</w:t>
      </w:r>
      <w:r w:rsidR="00BE32FA" w:rsidRPr="00B91524">
        <w:t xml:space="preserve"> </w:t>
      </w:r>
      <w:r w:rsidR="00872A6C" w:rsidRPr="00B91524">
        <w:t xml:space="preserve">was then </w:t>
      </w:r>
      <w:r w:rsidR="008B4686" w:rsidRPr="00B91524">
        <w:t xml:space="preserve">used to develop a predictive model to </w:t>
      </w:r>
      <w:r w:rsidR="00BE32FA" w:rsidRPr="00B91524">
        <w:t>update the existing habitat/biotope mappin</w:t>
      </w:r>
      <w:r w:rsidR="008B4686" w:rsidRPr="00B91524">
        <w:t xml:space="preserve">g available for the </w:t>
      </w:r>
      <w:r w:rsidR="00CB7976" w:rsidRPr="00B91524">
        <w:t xml:space="preserve">SOWF array and ECR areas (see Appendix </w:t>
      </w:r>
      <w:r w:rsidR="007443E4" w:rsidRPr="00B91524">
        <w:t>L</w:t>
      </w:r>
      <w:r w:rsidR="00CB7976" w:rsidRPr="00B91524">
        <w:t>).</w:t>
      </w:r>
    </w:p>
    <w:p w14:paraId="2EC59FC2" w14:textId="77777777" w:rsidR="00BE32FA" w:rsidRPr="00B91524" w:rsidRDefault="00BE32FA" w:rsidP="00AD53E7">
      <w:pPr>
        <w:pStyle w:val="Appendixsubheading2"/>
        <w:rPr>
          <w:rFonts w:eastAsia="Calibri Light"/>
        </w:rPr>
      </w:pPr>
      <w:bookmarkStart w:id="127" w:name="_Toc46090249"/>
      <w:r w:rsidRPr="00B91524">
        <w:rPr>
          <w:rFonts w:eastAsia="Calibri Light"/>
        </w:rPr>
        <w:t>SI Investigation Ground-Truthing (characterisation) survey</w:t>
      </w:r>
      <w:bookmarkEnd w:id="127"/>
    </w:p>
    <w:p w14:paraId="6E8EA426" w14:textId="6338FE33" w:rsidR="00BE32FA" w:rsidRPr="00B91524" w:rsidRDefault="00BE32FA" w:rsidP="00BE32FA">
      <w:pPr>
        <w:pStyle w:val="Reportbodytextnumbering"/>
        <w:numPr>
          <w:ilvl w:val="0"/>
          <w:numId w:val="0"/>
        </w:numPr>
      </w:pPr>
      <w:r w:rsidRPr="00B91524">
        <w:t xml:space="preserve">As discussed above, </w:t>
      </w:r>
      <w:r w:rsidR="00CB7976" w:rsidRPr="00B91524">
        <w:t xml:space="preserve">the </w:t>
      </w:r>
      <w:r w:rsidRPr="00B91524">
        <w:t xml:space="preserve">targeted ground-truthing survey conducted in summer 2020 was informed by the results of the SI, full details of which are provided in the BMP Supporting Studies Document (SOWFL, 2019b). This involved the collection of grab samples at 30 </w:t>
      </w:r>
      <w:r w:rsidR="00CB7976" w:rsidRPr="00B91524">
        <w:t xml:space="preserve">stations </w:t>
      </w:r>
      <w:r w:rsidRPr="00B91524">
        <w:t xml:space="preserve">(checked in advance via drop-down camera for presence of sensitive habitats) combined with investigation of 34 Drop Down Camera (DDC) cruciform transects to ground-truth the interpretation of the geophysical data and delineate the boundaries of any potential benthic habitats of CEEI. The resulting data </w:t>
      </w:r>
      <w:r w:rsidR="00CB7976" w:rsidRPr="00B91524">
        <w:t>has be</w:t>
      </w:r>
      <w:r w:rsidR="00C93649" w:rsidRPr="00B91524">
        <w:t>en</w:t>
      </w:r>
      <w:r w:rsidR="00CB7976" w:rsidRPr="00B91524">
        <w:t xml:space="preserve"> used to train a predictive model that has been used to update the</w:t>
      </w:r>
      <w:r w:rsidRPr="00B91524">
        <w:t xml:space="preserve"> existing habitat mapping </w:t>
      </w:r>
      <w:r w:rsidR="00CB7976" w:rsidRPr="00B91524">
        <w:t xml:space="preserve">available of the area (see Appendix </w:t>
      </w:r>
      <w:r w:rsidR="007443E4" w:rsidRPr="00B91524">
        <w:t>L</w:t>
      </w:r>
      <w:r w:rsidR="00CB7976" w:rsidRPr="00B91524">
        <w:t xml:space="preserve">) </w:t>
      </w:r>
      <w:r w:rsidRPr="00B91524">
        <w:t xml:space="preserve">which in turn </w:t>
      </w:r>
      <w:r w:rsidR="00CB7976" w:rsidRPr="00B91524">
        <w:t>has been</w:t>
      </w:r>
      <w:r w:rsidRPr="00B91524">
        <w:t xml:space="preserve"> used to </w:t>
      </w:r>
      <w:proofErr w:type="spellStart"/>
      <w:r w:rsidRPr="00B91524">
        <w:t>finalise</w:t>
      </w:r>
      <w:proofErr w:type="spellEnd"/>
      <w:r w:rsidRPr="00B91524">
        <w:t xml:space="preserve"> the pre-construction baseline sampling locations. As part of the 2020 SI survey campaign, SOWFL also conducted a comprehensive geotechnical investigation involving cone penetration tests (CPTs) and collection of </w:t>
      </w:r>
      <w:proofErr w:type="spellStart"/>
      <w:r w:rsidRPr="00B91524">
        <w:t>vibrocores</w:t>
      </w:r>
      <w:proofErr w:type="spellEnd"/>
      <w:r w:rsidRPr="00B91524">
        <w:t xml:space="preserve"> at</w:t>
      </w:r>
      <w:r w:rsidR="00CB7976" w:rsidRPr="00B91524">
        <w:t xml:space="preserve"> </w:t>
      </w:r>
      <w:r w:rsidRPr="00B91524">
        <w:t>124 locations along the export cable route, at a number of the proposed WTG locations and at approximately 15 inter-array cable locations (Figure F1). As a means of further ground-truthing the interpretation of the geophysical survey data, SOWF conduct</w:t>
      </w:r>
      <w:r w:rsidR="00742ABC" w:rsidRPr="00B91524">
        <w:t>ed</w:t>
      </w:r>
      <w:r w:rsidRPr="00B91524">
        <w:t xml:space="preserve"> PSD analysis of the </w:t>
      </w:r>
      <w:r w:rsidRPr="00B91524">
        <w:lastRenderedPageBreak/>
        <w:t xml:space="preserve">surface 15 cm of the </w:t>
      </w:r>
      <w:proofErr w:type="spellStart"/>
      <w:r w:rsidRPr="00B91524">
        <w:t>vibrocores</w:t>
      </w:r>
      <w:proofErr w:type="spellEnd"/>
      <w:r w:rsidRPr="00B91524">
        <w:t xml:space="preserve"> collected</w:t>
      </w:r>
      <w:r w:rsidRPr="00B91524">
        <w:rPr>
          <w:rStyle w:val="FootnoteReference"/>
        </w:rPr>
        <w:footnoteReference w:id="5"/>
      </w:r>
      <w:r w:rsidRPr="00B91524">
        <w:t xml:space="preserve">. This information </w:t>
      </w:r>
      <w:r w:rsidR="00742ABC" w:rsidRPr="00B91524">
        <w:t xml:space="preserve">was then </w:t>
      </w:r>
      <w:r w:rsidRPr="00B91524">
        <w:t xml:space="preserve">also used </w:t>
      </w:r>
      <w:r w:rsidR="00742ABC" w:rsidRPr="00B91524">
        <w:t xml:space="preserve">to further train the predictive model </w:t>
      </w:r>
      <w:r w:rsidR="001F4CE1" w:rsidRPr="00B91524">
        <w:t>developed</w:t>
      </w:r>
      <w:r w:rsidR="00742ABC" w:rsidRPr="00B91524">
        <w:t xml:space="preserve"> to</w:t>
      </w:r>
      <w:r w:rsidRPr="00B91524">
        <w:t xml:space="preserve"> </w:t>
      </w:r>
      <w:r w:rsidR="001F4CE1" w:rsidRPr="00B91524">
        <w:t>u</w:t>
      </w:r>
      <w:r w:rsidRPr="00B91524">
        <w:t xml:space="preserve">pdate </w:t>
      </w:r>
      <w:r w:rsidR="001F4CE1" w:rsidRPr="00B91524">
        <w:t xml:space="preserve">the existing </w:t>
      </w:r>
      <w:r w:rsidRPr="00B91524">
        <w:t xml:space="preserve">habitat mapping </w:t>
      </w:r>
      <w:r w:rsidR="001F4CE1" w:rsidRPr="00B91524">
        <w:t xml:space="preserve">for the SOWF array and ECR areas and therefore </w:t>
      </w:r>
      <w:r w:rsidR="00B050F5" w:rsidRPr="00B91524">
        <w:t>used to inform the design of the</w:t>
      </w:r>
      <w:r w:rsidRPr="00B91524">
        <w:t xml:space="preserve"> </w:t>
      </w:r>
      <w:proofErr w:type="spellStart"/>
      <w:r w:rsidRPr="00B91524">
        <w:t>finalising</w:t>
      </w:r>
      <w:proofErr w:type="spellEnd"/>
      <w:r w:rsidRPr="00B91524">
        <w:t xml:space="preserve"> the BMP sampling array.</w:t>
      </w:r>
    </w:p>
    <w:p w14:paraId="713C3B5D" w14:textId="77777777" w:rsidR="00BE32FA" w:rsidRPr="00B91524" w:rsidRDefault="00BE32FA" w:rsidP="00AD53E7">
      <w:pPr>
        <w:pStyle w:val="Appendixsubheading2"/>
        <w:rPr>
          <w:rFonts w:eastAsia="Calibri Light"/>
        </w:rPr>
      </w:pPr>
      <w:bookmarkStart w:id="128" w:name="_Toc46090250"/>
      <w:r w:rsidRPr="00B91524">
        <w:rPr>
          <w:rFonts w:eastAsia="Calibri Light"/>
        </w:rPr>
        <w:t>Benthic Habitats of CEEI</w:t>
      </w:r>
      <w:bookmarkEnd w:id="128"/>
    </w:p>
    <w:p w14:paraId="2EBE5ED7" w14:textId="77777777" w:rsidR="00BE32FA" w:rsidRPr="00B91524" w:rsidRDefault="00BE32FA" w:rsidP="00BE32FA">
      <w:pPr>
        <w:pStyle w:val="Reportbodytextnumbering"/>
        <w:numPr>
          <w:ilvl w:val="0"/>
          <w:numId w:val="0"/>
        </w:numPr>
      </w:pPr>
      <w:r w:rsidRPr="00B91524">
        <w:t xml:space="preserve">Review of the existing data have identified that several benthic habitats of CEEI exist within the SOWF Order Limits, although some are not located within the Dogger Bank SAC, nor are features of the SAC, including: </w:t>
      </w:r>
    </w:p>
    <w:p w14:paraId="584921EA" w14:textId="77777777" w:rsidR="00BE32FA" w:rsidRPr="00B91524" w:rsidRDefault="00BE32FA" w:rsidP="00BE32FA">
      <w:pPr>
        <w:pStyle w:val="Bullet"/>
        <w:rPr>
          <w:rFonts w:eastAsia="Calibri Light"/>
        </w:rPr>
      </w:pPr>
      <w:r w:rsidRPr="00B91524">
        <w:rPr>
          <w:rFonts w:eastAsia="Calibri Light"/>
        </w:rPr>
        <w:t>Annex I ‘sandbanks which are slightly covered by sea water all the time’ (Annex I Primary feature for site selection);</w:t>
      </w:r>
    </w:p>
    <w:p w14:paraId="08A6F69D" w14:textId="77777777" w:rsidR="00BE32FA" w:rsidRPr="00B91524" w:rsidRDefault="00BE32FA" w:rsidP="00BE32FA">
      <w:pPr>
        <w:pStyle w:val="Bullet"/>
        <w:rPr>
          <w:rFonts w:eastAsia="Calibri Light"/>
        </w:rPr>
      </w:pPr>
      <w:r w:rsidRPr="00B91524">
        <w:rPr>
          <w:rFonts w:eastAsia="Calibri Light"/>
        </w:rPr>
        <w:t>Annex I ‘stony/cobble reefs’ (component of Dogger Bank SAC but not listed as a primary feature for site selection nor identified as a qualifying feature);</w:t>
      </w:r>
    </w:p>
    <w:p w14:paraId="084F8808" w14:textId="77777777" w:rsidR="00BE32FA" w:rsidRPr="00B91524" w:rsidRDefault="00BE32FA" w:rsidP="00BE32FA">
      <w:pPr>
        <w:pStyle w:val="Bullet"/>
        <w:rPr>
          <w:rFonts w:eastAsia="Calibri Light"/>
        </w:rPr>
      </w:pPr>
      <w:r w:rsidRPr="00B91524">
        <w:rPr>
          <w:rFonts w:eastAsia="Calibri Light"/>
        </w:rPr>
        <w:t xml:space="preserve">Section 41 / UK BAP Priority Habitat ‘subtidal sands and gravels’; </w:t>
      </w:r>
    </w:p>
    <w:p w14:paraId="6E2247B6" w14:textId="77777777" w:rsidR="00BE32FA" w:rsidRPr="00B91524" w:rsidRDefault="00BE32FA" w:rsidP="00BE32FA">
      <w:pPr>
        <w:pStyle w:val="Bullet"/>
        <w:rPr>
          <w:rFonts w:eastAsia="Calibri Light"/>
        </w:rPr>
      </w:pPr>
      <w:r w:rsidRPr="00B91524">
        <w:rPr>
          <w:rFonts w:eastAsia="Calibri Light"/>
        </w:rPr>
        <w:t>Section 41 / UK BAP Priority Habitat ‘mud habitats in deep water’; and</w:t>
      </w:r>
    </w:p>
    <w:p w14:paraId="342602C9" w14:textId="77777777" w:rsidR="00BE32FA" w:rsidRPr="00B91524" w:rsidRDefault="00BE32FA" w:rsidP="00BE32FA">
      <w:pPr>
        <w:pStyle w:val="Bullet"/>
        <w:rPr>
          <w:rFonts w:eastAsia="Calibri Light"/>
        </w:rPr>
      </w:pPr>
      <w:r w:rsidRPr="00B91524">
        <w:rPr>
          <w:rFonts w:eastAsia="Calibri Light"/>
        </w:rPr>
        <w:t>Section 41 / UK BAP Priority Habitat ‘peat and clay exposures’.</w:t>
      </w:r>
    </w:p>
    <w:p w14:paraId="3145A1A0" w14:textId="49E19365" w:rsidR="00BE32FA" w:rsidRPr="00B91524" w:rsidRDefault="00BE32FA" w:rsidP="00BE32FA">
      <w:pPr>
        <w:pStyle w:val="Reportbodytextnumbering"/>
        <w:numPr>
          <w:ilvl w:val="0"/>
          <w:numId w:val="0"/>
        </w:numPr>
      </w:pPr>
      <w:r w:rsidRPr="00B91524">
        <w:t>Despite being noted during the Tranche A &amp; B surveys (2011 and 2012), the distribution of these habitats across the array and cable corridors was not mapped in detail at the time, meaning their full extent and condition within the Order Limits remains relatively unknown. A full list of habitats potentially present within the SOWF Order Limits (although potentially not within the infrastructure construction areas) is detailed in</w:t>
      </w:r>
      <w:r w:rsidR="00E4680B" w:rsidRPr="00B91524">
        <w:t xml:space="preserve"> Table F1</w:t>
      </w:r>
      <w:r w:rsidR="00B050F5" w:rsidRPr="00B91524">
        <w:t>.</w:t>
      </w:r>
    </w:p>
    <w:p w14:paraId="57565156" w14:textId="77777777" w:rsidR="00BE32FA" w:rsidRPr="00B91524" w:rsidRDefault="00BE32FA" w:rsidP="00BE32FA">
      <w:pPr>
        <w:pStyle w:val="Caption"/>
      </w:pPr>
      <w:r w:rsidRPr="00B91524">
        <w:t>Table F1 Benthic habitats/biotopes of CEEI previously recorded within the SOWF Order Limits.</w:t>
      </w:r>
    </w:p>
    <w:tbl>
      <w:tblPr>
        <w:tblW w:w="5000" w:type="pct"/>
        <w:tblLook w:val="04A0" w:firstRow="1" w:lastRow="0" w:firstColumn="1" w:lastColumn="0" w:noHBand="0" w:noVBand="1"/>
      </w:tblPr>
      <w:tblGrid>
        <w:gridCol w:w="2513"/>
        <w:gridCol w:w="1468"/>
        <w:gridCol w:w="3091"/>
        <w:gridCol w:w="1934"/>
      </w:tblGrid>
      <w:tr w:rsidR="00BE32FA" w:rsidRPr="00B91524" w14:paraId="449B9C34" w14:textId="77777777" w:rsidTr="00FC1861">
        <w:trPr>
          <w:trHeight w:val="850"/>
        </w:trPr>
        <w:tc>
          <w:tcPr>
            <w:tcW w:w="1395" w:type="pct"/>
            <w:tcBorders>
              <w:top w:val="single" w:sz="8" w:space="0" w:color="auto"/>
              <w:left w:val="single" w:sz="8" w:space="0" w:color="auto"/>
              <w:bottom w:val="single" w:sz="8" w:space="0" w:color="auto"/>
              <w:right w:val="single" w:sz="8" w:space="0" w:color="auto"/>
            </w:tcBorders>
            <w:shd w:val="clear" w:color="000000" w:fill="1D4477"/>
            <w:vAlign w:val="center"/>
            <w:hideMark/>
          </w:tcPr>
          <w:p w14:paraId="257B44C2" w14:textId="77777777" w:rsidR="00BE32FA" w:rsidRPr="00B91524" w:rsidRDefault="00BE32FA" w:rsidP="00FC1861">
            <w:pPr>
              <w:spacing w:after="0"/>
              <w:jc w:val="center"/>
              <w:rPr>
                <w:rFonts w:cs="Arial"/>
                <w:b/>
                <w:bCs/>
                <w:color w:val="FFFFFF"/>
                <w:sz w:val="18"/>
                <w:szCs w:val="18"/>
                <w:lang w:eastAsia="en-GB"/>
              </w:rPr>
            </w:pPr>
            <w:r w:rsidRPr="00B91524">
              <w:rPr>
                <w:rFonts w:cs="Arial"/>
                <w:b/>
                <w:bCs/>
                <w:color w:val="FFFFFF"/>
                <w:sz w:val="18"/>
                <w:szCs w:val="18"/>
                <w:lang w:eastAsia="en-GB"/>
              </w:rPr>
              <w:t>Representative Habitats/Biotopes</w:t>
            </w:r>
          </w:p>
        </w:tc>
        <w:tc>
          <w:tcPr>
            <w:tcW w:w="815" w:type="pct"/>
            <w:tcBorders>
              <w:top w:val="single" w:sz="8" w:space="0" w:color="auto"/>
              <w:left w:val="nil"/>
              <w:bottom w:val="single" w:sz="8" w:space="0" w:color="auto"/>
              <w:right w:val="single" w:sz="8" w:space="0" w:color="auto"/>
            </w:tcBorders>
            <w:shd w:val="clear" w:color="000000" w:fill="1D4477"/>
            <w:vAlign w:val="center"/>
            <w:hideMark/>
          </w:tcPr>
          <w:p w14:paraId="05098B44" w14:textId="77777777" w:rsidR="00BE32FA" w:rsidRPr="00B91524" w:rsidRDefault="00BE32FA" w:rsidP="00FC1861">
            <w:pPr>
              <w:spacing w:after="0"/>
              <w:jc w:val="center"/>
              <w:rPr>
                <w:rFonts w:cs="Arial"/>
                <w:b/>
                <w:bCs/>
                <w:color w:val="FFFFFF"/>
                <w:sz w:val="18"/>
                <w:szCs w:val="18"/>
                <w:lang w:eastAsia="en-GB"/>
              </w:rPr>
            </w:pPr>
            <w:r w:rsidRPr="00B91524">
              <w:rPr>
                <w:rFonts w:cs="Arial"/>
                <w:b/>
                <w:bCs/>
                <w:color w:val="FFFFFF"/>
                <w:sz w:val="18"/>
                <w:szCs w:val="18"/>
                <w:lang w:eastAsia="en-GB"/>
              </w:rPr>
              <w:t>Protection Status</w:t>
            </w:r>
          </w:p>
        </w:tc>
        <w:tc>
          <w:tcPr>
            <w:tcW w:w="1716" w:type="pct"/>
            <w:tcBorders>
              <w:top w:val="single" w:sz="8" w:space="0" w:color="auto"/>
              <w:left w:val="nil"/>
              <w:bottom w:val="single" w:sz="8" w:space="0" w:color="auto"/>
              <w:right w:val="single" w:sz="8" w:space="0" w:color="auto"/>
            </w:tcBorders>
            <w:shd w:val="clear" w:color="000000" w:fill="1D4477"/>
            <w:vAlign w:val="center"/>
            <w:hideMark/>
          </w:tcPr>
          <w:p w14:paraId="5A305970" w14:textId="77777777" w:rsidR="00BE32FA" w:rsidRPr="00B91524" w:rsidRDefault="00BE32FA" w:rsidP="00FC1861">
            <w:pPr>
              <w:spacing w:after="0"/>
              <w:jc w:val="center"/>
              <w:rPr>
                <w:rFonts w:cs="Arial"/>
                <w:b/>
                <w:bCs/>
                <w:color w:val="FFFFFF"/>
                <w:sz w:val="18"/>
                <w:szCs w:val="18"/>
                <w:lang w:eastAsia="en-GB"/>
              </w:rPr>
            </w:pPr>
            <w:r w:rsidRPr="00B91524">
              <w:rPr>
                <w:rFonts w:cs="Arial"/>
                <w:b/>
                <w:bCs/>
                <w:color w:val="FFFFFF"/>
                <w:sz w:val="18"/>
                <w:szCs w:val="18"/>
                <w:lang w:eastAsia="en-GB"/>
              </w:rPr>
              <w:t>Conservation Interest</w:t>
            </w:r>
          </w:p>
        </w:tc>
        <w:tc>
          <w:tcPr>
            <w:tcW w:w="1074" w:type="pct"/>
            <w:tcBorders>
              <w:top w:val="single" w:sz="8" w:space="0" w:color="auto"/>
              <w:left w:val="nil"/>
              <w:bottom w:val="single" w:sz="8" w:space="0" w:color="auto"/>
              <w:right w:val="single" w:sz="8" w:space="0" w:color="auto"/>
            </w:tcBorders>
            <w:shd w:val="clear" w:color="000000" w:fill="1D4477"/>
            <w:vAlign w:val="center"/>
            <w:hideMark/>
          </w:tcPr>
          <w:p w14:paraId="0BE3FE33" w14:textId="77777777" w:rsidR="00BE32FA" w:rsidRPr="00B91524" w:rsidRDefault="00BE32FA" w:rsidP="00FC1861">
            <w:pPr>
              <w:spacing w:after="0"/>
              <w:jc w:val="center"/>
              <w:rPr>
                <w:rFonts w:cs="Arial"/>
                <w:b/>
                <w:bCs/>
                <w:color w:val="FFFFFF"/>
                <w:sz w:val="18"/>
                <w:szCs w:val="18"/>
                <w:lang w:eastAsia="en-GB"/>
              </w:rPr>
            </w:pPr>
            <w:r w:rsidRPr="00B91524">
              <w:rPr>
                <w:rFonts w:cs="Arial"/>
                <w:b/>
                <w:bCs/>
                <w:color w:val="FFFFFF"/>
                <w:sz w:val="18"/>
                <w:szCs w:val="18"/>
                <w:lang w:eastAsia="en-GB"/>
              </w:rPr>
              <w:t>Location &amp; relationship to Dogger Bank SAC)</w:t>
            </w:r>
          </w:p>
        </w:tc>
      </w:tr>
      <w:tr w:rsidR="00BE32FA" w:rsidRPr="00B91524" w14:paraId="058DB22E" w14:textId="77777777" w:rsidTr="00FC1861">
        <w:trPr>
          <w:trHeight w:val="1215"/>
        </w:trPr>
        <w:tc>
          <w:tcPr>
            <w:tcW w:w="1395" w:type="pct"/>
            <w:tcBorders>
              <w:top w:val="nil"/>
              <w:left w:val="single" w:sz="8" w:space="0" w:color="1D4477"/>
              <w:bottom w:val="single" w:sz="8" w:space="0" w:color="1D4477"/>
              <w:right w:val="single" w:sz="8" w:space="0" w:color="1D4477"/>
            </w:tcBorders>
            <w:shd w:val="clear" w:color="000000" w:fill="C4D7F0"/>
            <w:vAlign w:val="center"/>
            <w:hideMark/>
          </w:tcPr>
          <w:p w14:paraId="20C46124" w14:textId="77777777" w:rsidR="00BE32FA" w:rsidRPr="00B91524" w:rsidRDefault="00BE32FA" w:rsidP="00FC1861">
            <w:pPr>
              <w:spacing w:after="0"/>
              <w:rPr>
                <w:rFonts w:cs="Arial"/>
                <w:color w:val="000000"/>
                <w:sz w:val="18"/>
                <w:szCs w:val="18"/>
                <w:lang w:val="it-IT" w:eastAsia="en-GB"/>
              </w:rPr>
            </w:pPr>
            <w:proofErr w:type="spellStart"/>
            <w:r w:rsidRPr="00B91524">
              <w:rPr>
                <w:rFonts w:cs="Arial"/>
                <w:color w:val="000000"/>
                <w:sz w:val="18"/>
                <w:szCs w:val="18"/>
                <w:lang w:val="it-IT" w:eastAsia="en-GB"/>
              </w:rPr>
              <w:t>Circalittoral</w:t>
            </w:r>
            <w:proofErr w:type="spellEnd"/>
            <w:r w:rsidRPr="00B91524">
              <w:rPr>
                <w:rFonts w:cs="Arial"/>
                <w:color w:val="000000"/>
                <w:sz w:val="18"/>
                <w:szCs w:val="18"/>
                <w:lang w:val="it-IT" w:eastAsia="en-GB"/>
              </w:rPr>
              <w:t xml:space="preserve"> </w:t>
            </w:r>
            <w:proofErr w:type="spellStart"/>
            <w:r w:rsidRPr="00B91524">
              <w:rPr>
                <w:rFonts w:cs="Arial"/>
                <w:color w:val="000000"/>
                <w:sz w:val="18"/>
                <w:szCs w:val="18"/>
                <w:lang w:val="it-IT" w:eastAsia="en-GB"/>
              </w:rPr>
              <w:t>coarse</w:t>
            </w:r>
            <w:proofErr w:type="spellEnd"/>
            <w:r w:rsidRPr="00B91524">
              <w:rPr>
                <w:rFonts w:cs="Arial"/>
                <w:color w:val="000000"/>
                <w:sz w:val="18"/>
                <w:szCs w:val="18"/>
                <w:lang w:val="it-IT" w:eastAsia="en-GB"/>
              </w:rPr>
              <w:t xml:space="preserve"> </w:t>
            </w:r>
            <w:proofErr w:type="spellStart"/>
            <w:r w:rsidRPr="00B91524">
              <w:rPr>
                <w:rFonts w:cs="Arial"/>
                <w:color w:val="000000"/>
                <w:sz w:val="18"/>
                <w:szCs w:val="18"/>
                <w:lang w:val="it-IT" w:eastAsia="en-GB"/>
              </w:rPr>
              <w:t>sediment</w:t>
            </w:r>
            <w:proofErr w:type="spellEnd"/>
            <w:r w:rsidRPr="00B91524">
              <w:rPr>
                <w:rFonts w:cs="Arial"/>
                <w:color w:val="000000"/>
                <w:sz w:val="18"/>
                <w:szCs w:val="18"/>
                <w:lang w:val="it-IT" w:eastAsia="en-GB"/>
              </w:rPr>
              <w:t xml:space="preserve">; </w:t>
            </w:r>
            <w:proofErr w:type="spellStart"/>
            <w:r w:rsidRPr="00B91524">
              <w:rPr>
                <w:rFonts w:cs="Arial"/>
                <w:color w:val="000000"/>
                <w:sz w:val="18"/>
                <w:szCs w:val="18"/>
                <w:lang w:val="it-IT" w:eastAsia="en-GB"/>
              </w:rPr>
              <w:t>circalittoral</w:t>
            </w:r>
            <w:proofErr w:type="spellEnd"/>
            <w:r w:rsidRPr="00B91524">
              <w:rPr>
                <w:rFonts w:cs="Arial"/>
                <w:color w:val="000000"/>
                <w:sz w:val="18"/>
                <w:szCs w:val="18"/>
                <w:lang w:val="it-IT" w:eastAsia="en-GB"/>
              </w:rPr>
              <w:t xml:space="preserve"> fine </w:t>
            </w:r>
            <w:proofErr w:type="spellStart"/>
            <w:r w:rsidRPr="00B91524">
              <w:rPr>
                <w:rFonts w:cs="Arial"/>
                <w:color w:val="000000"/>
                <w:sz w:val="18"/>
                <w:szCs w:val="18"/>
                <w:lang w:val="it-IT" w:eastAsia="en-GB"/>
              </w:rPr>
              <w:t>sand</w:t>
            </w:r>
            <w:proofErr w:type="spellEnd"/>
            <w:r w:rsidRPr="00B91524">
              <w:rPr>
                <w:rFonts w:cs="Arial"/>
                <w:color w:val="000000"/>
                <w:sz w:val="18"/>
                <w:szCs w:val="18"/>
                <w:lang w:val="it-IT" w:eastAsia="en-GB"/>
              </w:rPr>
              <w:t xml:space="preserve">; </w:t>
            </w:r>
            <w:proofErr w:type="spellStart"/>
            <w:r w:rsidRPr="00B91524">
              <w:rPr>
                <w:rFonts w:cs="Arial"/>
                <w:color w:val="000000"/>
                <w:sz w:val="18"/>
                <w:szCs w:val="18"/>
                <w:lang w:val="it-IT" w:eastAsia="en-GB"/>
              </w:rPr>
              <w:t>circalittoral</w:t>
            </w:r>
            <w:proofErr w:type="spellEnd"/>
            <w:r w:rsidRPr="00B91524">
              <w:rPr>
                <w:rFonts w:cs="Arial"/>
                <w:color w:val="000000"/>
                <w:sz w:val="18"/>
                <w:szCs w:val="18"/>
                <w:lang w:val="it-IT" w:eastAsia="en-GB"/>
              </w:rPr>
              <w:t xml:space="preserve"> </w:t>
            </w:r>
            <w:proofErr w:type="spellStart"/>
            <w:r w:rsidRPr="00B91524">
              <w:rPr>
                <w:rFonts w:cs="Arial"/>
                <w:color w:val="000000"/>
                <w:sz w:val="18"/>
                <w:szCs w:val="18"/>
                <w:lang w:val="it-IT" w:eastAsia="en-GB"/>
              </w:rPr>
              <w:t>muddy</w:t>
            </w:r>
            <w:proofErr w:type="spellEnd"/>
            <w:r w:rsidRPr="00B91524">
              <w:rPr>
                <w:rFonts w:cs="Arial"/>
                <w:color w:val="000000"/>
                <w:sz w:val="18"/>
                <w:szCs w:val="18"/>
                <w:lang w:val="it-IT" w:eastAsia="en-GB"/>
              </w:rPr>
              <w:t xml:space="preserve"> </w:t>
            </w:r>
            <w:proofErr w:type="spellStart"/>
            <w:r w:rsidRPr="00B91524">
              <w:rPr>
                <w:rFonts w:cs="Arial"/>
                <w:color w:val="000000"/>
                <w:sz w:val="18"/>
                <w:szCs w:val="18"/>
                <w:lang w:val="it-IT" w:eastAsia="en-GB"/>
              </w:rPr>
              <w:t>sand</w:t>
            </w:r>
            <w:proofErr w:type="spellEnd"/>
            <w:r w:rsidRPr="00B91524">
              <w:rPr>
                <w:rFonts w:cs="Arial"/>
                <w:color w:val="000000"/>
                <w:sz w:val="18"/>
                <w:szCs w:val="18"/>
                <w:lang w:val="it-IT" w:eastAsia="en-GB"/>
              </w:rPr>
              <w:t xml:space="preserve">; </w:t>
            </w:r>
            <w:proofErr w:type="spellStart"/>
            <w:r w:rsidRPr="00B91524">
              <w:rPr>
                <w:rFonts w:cs="Arial"/>
                <w:color w:val="000000"/>
                <w:sz w:val="18"/>
                <w:szCs w:val="18"/>
                <w:lang w:val="it-IT" w:eastAsia="en-GB"/>
              </w:rPr>
              <w:t>circalittoral</w:t>
            </w:r>
            <w:proofErr w:type="spellEnd"/>
            <w:r w:rsidRPr="00B91524">
              <w:rPr>
                <w:rFonts w:cs="Arial"/>
                <w:color w:val="000000"/>
                <w:sz w:val="18"/>
                <w:szCs w:val="18"/>
                <w:lang w:val="it-IT" w:eastAsia="en-GB"/>
              </w:rPr>
              <w:t xml:space="preserve"> mixed </w:t>
            </w:r>
            <w:proofErr w:type="spellStart"/>
            <w:r w:rsidRPr="00B91524">
              <w:rPr>
                <w:rFonts w:cs="Arial"/>
                <w:color w:val="000000"/>
                <w:sz w:val="18"/>
                <w:szCs w:val="18"/>
                <w:lang w:val="it-IT" w:eastAsia="en-GB"/>
              </w:rPr>
              <w:t>sediment</w:t>
            </w:r>
            <w:proofErr w:type="spellEnd"/>
            <w:r w:rsidRPr="00B91524">
              <w:rPr>
                <w:rFonts w:cs="Arial"/>
                <w:color w:val="000000"/>
                <w:sz w:val="18"/>
                <w:szCs w:val="18"/>
                <w:lang w:val="it-IT" w:eastAsia="en-GB"/>
              </w:rPr>
              <w:t>)</w:t>
            </w:r>
          </w:p>
        </w:tc>
        <w:tc>
          <w:tcPr>
            <w:tcW w:w="815" w:type="pct"/>
            <w:tcBorders>
              <w:top w:val="nil"/>
              <w:left w:val="nil"/>
              <w:bottom w:val="single" w:sz="8" w:space="0" w:color="1D4477"/>
              <w:right w:val="single" w:sz="8" w:space="0" w:color="1D4477"/>
            </w:tcBorders>
            <w:shd w:val="clear" w:color="000000" w:fill="C4D7F0"/>
            <w:vAlign w:val="center"/>
            <w:hideMark/>
          </w:tcPr>
          <w:p w14:paraId="28CF6B49" w14:textId="77777777" w:rsidR="00BE32FA" w:rsidRPr="00B91524" w:rsidRDefault="00BE32FA" w:rsidP="00FC1861">
            <w:pPr>
              <w:spacing w:after="0"/>
              <w:rPr>
                <w:rFonts w:cs="Arial"/>
                <w:color w:val="000000"/>
                <w:sz w:val="18"/>
                <w:szCs w:val="18"/>
                <w:lang w:eastAsia="en-GB"/>
              </w:rPr>
            </w:pPr>
            <w:r w:rsidRPr="00B91524">
              <w:rPr>
                <w:rFonts w:cs="Arial"/>
                <w:color w:val="000000"/>
                <w:sz w:val="18"/>
                <w:szCs w:val="18"/>
                <w:lang w:eastAsia="en-GB"/>
              </w:rPr>
              <w:t>Annex I Habitats Directive</w:t>
            </w:r>
          </w:p>
        </w:tc>
        <w:tc>
          <w:tcPr>
            <w:tcW w:w="1716" w:type="pct"/>
            <w:tcBorders>
              <w:top w:val="nil"/>
              <w:left w:val="nil"/>
              <w:bottom w:val="single" w:sz="8" w:space="0" w:color="1D4477"/>
              <w:right w:val="single" w:sz="8" w:space="0" w:color="1D4477"/>
            </w:tcBorders>
            <w:shd w:val="clear" w:color="000000" w:fill="C4D7F0"/>
            <w:vAlign w:val="center"/>
            <w:hideMark/>
          </w:tcPr>
          <w:p w14:paraId="385394C1" w14:textId="77777777" w:rsidR="00BE32FA" w:rsidRPr="00B91524" w:rsidRDefault="00BE32FA" w:rsidP="00FC1861">
            <w:pPr>
              <w:spacing w:after="0"/>
              <w:rPr>
                <w:rFonts w:cs="Arial"/>
                <w:color w:val="000000"/>
                <w:sz w:val="18"/>
                <w:szCs w:val="18"/>
                <w:lang w:eastAsia="en-GB"/>
              </w:rPr>
            </w:pPr>
            <w:r w:rsidRPr="00B91524">
              <w:rPr>
                <w:rFonts w:cs="Arial"/>
                <w:color w:val="000000"/>
                <w:sz w:val="18"/>
                <w:szCs w:val="18"/>
                <w:lang w:eastAsia="en-GB"/>
              </w:rPr>
              <w:t>Annex I sandbanks that are slightly covered by seawater all the time;  FOCI (Subtidal sands and gravel);  UK BAP priority habitat (Subtidal sands and gravels)</w:t>
            </w:r>
          </w:p>
        </w:tc>
        <w:tc>
          <w:tcPr>
            <w:tcW w:w="1074" w:type="pct"/>
            <w:tcBorders>
              <w:top w:val="nil"/>
              <w:left w:val="nil"/>
              <w:bottom w:val="single" w:sz="8" w:space="0" w:color="1D4477"/>
              <w:right w:val="single" w:sz="8" w:space="0" w:color="1D4477"/>
            </w:tcBorders>
            <w:shd w:val="clear" w:color="000000" w:fill="C4D7F0"/>
            <w:vAlign w:val="center"/>
            <w:hideMark/>
          </w:tcPr>
          <w:p w14:paraId="797E83A8" w14:textId="77777777" w:rsidR="00BE32FA" w:rsidRPr="00B91524" w:rsidRDefault="00BE32FA" w:rsidP="00FC1861">
            <w:pPr>
              <w:spacing w:after="0"/>
              <w:rPr>
                <w:rFonts w:cs="Arial"/>
                <w:color w:val="000000"/>
                <w:sz w:val="18"/>
                <w:szCs w:val="18"/>
                <w:lang w:eastAsia="en-GB"/>
              </w:rPr>
            </w:pPr>
            <w:r w:rsidRPr="00B91524">
              <w:rPr>
                <w:rFonts w:cs="Arial"/>
                <w:color w:val="000000"/>
                <w:sz w:val="18"/>
                <w:szCs w:val="18"/>
                <w:lang w:eastAsia="en-GB"/>
              </w:rPr>
              <w:t>Array and offshore section of export cable (within SAC boundary)</w:t>
            </w:r>
          </w:p>
        </w:tc>
      </w:tr>
      <w:tr w:rsidR="00BE32FA" w:rsidRPr="00B91524" w14:paraId="1F7B62D8" w14:textId="77777777" w:rsidTr="00FC1861">
        <w:trPr>
          <w:trHeight w:val="2008"/>
        </w:trPr>
        <w:tc>
          <w:tcPr>
            <w:tcW w:w="1395" w:type="pct"/>
            <w:tcBorders>
              <w:top w:val="nil"/>
              <w:left w:val="single" w:sz="8" w:space="0" w:color="1D4477"/>
              <w:bottom w:val="single" w:sz="8" w:space="0" w:color="1D4477"/>
              <w:right w:val="single" w:sz="8" w:space="0" w:color="1D4477"/>
            </w:tcBorders>
            <w:shd w:val="clear" w:color="000000" w:fill="C4D7F0"/>
            <w:vAlign w:val="center"/>
            <w:hideMark/>
          </w:tcPr>
          <w:p w14:paraId="27F942CA" w14:textId="77777777" w:rsidR="00BE32FA" w:rsidRPr="00B91524" w:rsidRDefault="00BE32FA" w:rsidP="00FC1861">
            <w:pPr>
              <w:spacing w:after="0"/>
              <w:rPr>
                <w:rFonts w:cs="Arial"/>
                <w:i/>
                <w:iCs/>
                <w:color w:val="000000"/>
                <w:sz w:val="18"/>
                <w:szCs w:val="18"/>
                <w:lang w:val="it-IT" w:eastAsia="en-GB"/>
              </w:rPr>
            </w:pPr>
            <w:proofErr w:type="spellStart"/>
            <w:r w:rsidRPr="00B91524">
              <w:rPr>
                <w:rFonts w:cs="Arial"/>
                <w:i/>
                <w:iCs/>
                <w:color w:val="000000"/>
                <w:sz w:val="18"/>
                <w:szCs w:val="18"/>
                <w:lang w:val="it-IT" w:eastAsia="en-GB"/>
              </w:rPr>
              <w:t>Sabellaria</w:t>
            </w:r>
            <w:proofErr w:type="spellEnd"/>
            <w:r w:rsidRPr="00B91524">
              <w:rPr>
                <w:rFonts w:cs="Arial"/>
                <w:i/>
                <w:iCs/>
                <w:color w:val="000000"/>
                <w:sz w:val="18"/>
                <w:szCs w:val="18"/>
                <w:lang w:val="it-IT" w:eastAsia="en-GB"/>
              </w:rPr>
              <w:t xml:space="preserve"> spinulosa</w:t>
            </w:r>
            <w:r w:rsidRPr="00B91524">
              <w:rPr>
                <w:rFonts w:cs="Arial"/>
                <w:color w:val="000000"/>
                <w:sz w:val="18"/>
                <w:szCs w:val="18"/>
                <w:lang w:val="it-IT" w:eastAsia="en-GB"/>
              </w:rPr>
              <w:t xml:space="preserve"> on mixed </w:t>
            </w:r>
            <w:proofErr w:type="spellStart"/>
            <w:r w:rsidRPr="00B91524">
              <w:rPr>
                <w:rFonts w:cs="Arial"/>
                <w:color w:val="000000"/>
                <w:sz w:val="18"/>
                <w:szCs w:val="18"/>
                <w:lang w:val="it-IT" w:eastAsia="en-GB"/>
              </w:rPr>
              <w:t>substrata</w:t>
            </w:r>
            <w:proofErr w:type="spellEnd"/>
          </w:p>
        </w:tc>
        <w:tc>
          <w:tcPr>
            <w:tcW w:w="815" w:type="pct"/>
            <w:tcBorders>
              <w:top w:val="nil"/>
              <w:left w:val="nil"/>
              <w:bottom w:val="single" w:sz="8" w:space="0" w:color="1D4477"/>
              <w:right w:val="single" w:sz="8" w:space="0" w:color="1D4477"/>
            </w:tcBorders>
            <w:shd w:val="clear" w:color="000000" w:fill="C4D7F0"/>
            <w:vAlign w:val="center"/>
            <w:hideMark/>
          </w:tcPr>
          <w:p w14:paraId="2083FC14" w14:textId="77777777" w:rsidR="00BE32FA" w:rsidRPr="00B91524" w:rsidRDefault="00BE32FA" w:rsidP="00FC1861">
            <w:pPr>
              <w:spacing w:after="0"/>
              <w:rPr>
                <w:rFonts w:cs="Arial"/>
                <w:color w:val="000000"/>
                <w:sz w:val="18"/>
                <w:szCs w:val="18"/>
                <w:lang w:eastAsia="en-GB"/>
              </w:rPr>
            </w:pPr>
            <w:r w:rsidRPr="00B91524">
              <w:rPr>
                <w:rFonts w:cs="Arial"/>
                <w:color w:val="000000"/>
                <w:sz w:val="18"/>
                <w:szCs w:val="18"/>
                <w:lang w:eastAsia="en-GB"/>
              </w:rPr>
              <w:t>Annex I Habitats Directive</w:t>
            </w:r>
          </w:p>
        </w:tc>
        <w:tc>
          <w:tcPr>
            <w:tcW w:w="1716" w:type="pct"/>
            <w:tcBorders>
              <w:top w:val="nil"/>
              <w:left w:val="nil"/>
              <w:bottom w:val="single" w:sz="8" w:space="0" w:color="1D4477"/>
              <w:right w:val="single" w:sz="8" w:space="0" w:color="1D4477"/>
            </w:tcBorders>
            <w:shd w:val="clear" w:color="000000" w:fill="C4D7F0"/>
            <w:vAlign w:val="center"/>
            <w:hideMark/>
          </w:tcPr>
          <w:p w14:paraId="026A43B1" w14:textId="77777777" w:rsidR="00BE32FA" w:rsidRPr="00B91524" w:rsidRDefault="00BE32FA" w:rsidP="00FC1861">
            <w:pPr>
              <w:spacing w:after="0"/>
              <w:rPr>
                <w:rFonts w:cs="Arial"/>
                <w:color w:val="000000"/>
                <w:sz w:val="18"/>
                <w:szCs w:val="18"/>
                <w:lang w:eastAsia="en-GB"/>
              </w:rPr>
            </w:pPr>
            <w:r w:rsidRPr="00B91524">
              <w:rPr>
                <w:rFonts w:cs="Arial"/>
                <w:color w:val="000000"/>
                <w:sz w:val="18"/>
                <w:szCs w:val="18"/>
                <w:lang w:eastAsia="en-GB"/>
              </w:rPr>
              <w:t>Section 41 Priority Habitat; Potentially corresponds to Annex I ‘</w:t>
            </w:r>
            <w:r w:rsidRPr="00B91524">
              <w:rPr>
                <w:rFonts w:cs="Arial"/>
                <w:i/>
                <w:iCs/>
                <w:color w:val="000000"/>
                <w:sz w:val="18"/>
                <w:szCs w:val="18"/>
                <w:lang w:eastAsia="en-GB"/>
              </w:rPr>
              <w:t>S. spinulosa</w:t>
            </w:r>
            <w:r w:rsidRPr="00B91524">
              <w:rPr>
                <w:rFonts w:cs="Arial"/>
                <w:color w:val="000000"/>
                <w:sz w:val="18"/>
                <w:szCs w:val="18"/>
                <w:lang w:eastAsia="en-GB"/>
              </w:rPr>
              <w:t xml:space="preserve"> reefs’; OSPAR List of Threatened and/or Declining Species and Habitats (Region II – North Sea, Region III – Celtic Sea); Feature of Conservation Importance (FOCI)</w:t>
            </w:r>
          </w:p>
        </w:tc>
        <w:tc>
          <w:tcPr>
            <w:tcW w:w="1074" w:type="pct"/>
            <w:tcBorders>
              <w:top w:val="nil"/>
              <w:left w:val="nil"/>
              <w:bottom w:val="single" w:sz="8" w:space="0" w:color="1D4477"/>
              <w:right w:val="single" w:sz="8" w:space="0" w:color="1D4477"/>
            </w:tcBorders>
            <w:shd w:val="clear" w:color="000000" w:fill="C4D7F0"/>
            <w:vAlign w:val="center"/>
            <w:hideMark/>
          </w:tcPr>
          <w:p w14:paraId="41B38829" w14:textId="77777777" w:rsidR="00BE32FA" w:rsidRPr="00B91524" w:rsidRDefault="00BE32FA" w:rsidP="00FC1861">
            <w:pPr>
              <w:spacing w:after="0"/>
              <w:rPr>
                <w:rFonts w:cs="Arial"/>
                <w:color w:val="000000"/>
                <w:sz w:val="18"/>
                <w:szCs w:val="18"/>
                <w:lang w:eastAsia="en-GB"/>
              </w:rPr>
            </w:pPr>
            <w:r w:rsidRPr="00B91524">
              <w:rPr>
                <w:rFonts w:cs="Arial"/>
                <w:color w:val="000000"/>
                <w:sz w:val="18"/>
                <w:szCs w:val="18"/>
                <w:lang w:eastAsia="en-GB"/>
              </w:rPr>
              <w:t>Cable Route potentially within and outside SAC boundary.</w:t>
            </w:r>
          </w:p>
        </w:tc>
      </w:tr>
      <w:tr w:rsidR="00BE32FA" w:rsidRPr="00B91524" w14:paraId="6FF0D058" w14:textId="77777777" w:rsidTr="00FC1861">
        <w:trPr>
          <w:trHeight w:val="495"/>
        </w:trPr>
        <w:tc>
          <w:tcPr>
            <w:tcW w:w="1395" w:type="pct"/>
            <w:tcBorders>
              <w:top w:val="nil"/>
              <w:left w:val="single" w:sz="8" w:space="0" w:color="1D4477"/>
              <w:bottom w:val="single" w:sz="8" w:space="0" w:color="1D4477"/>
              <w:right w:val="single" w:sz="8" w:space="0" w:color="1D4477"/>
            </w:tcBorders>
            <w:shd w:val="clear" w:color="000000" w:fill="C4D7F0"/>
            <w:vAlign w:val="center"/>
            <w:hideMark/>
          </w:tcPr>
          <w:p w14:paraId="5B8BA9B2" w14:textId="77777777" w:rsidR="00BE32FA" w:rsidRPr="00B91524" w:rsidRDefault="00BE32FA" w:rsidP="00FC1861">
            <w:pPr>
              <w:spacing w:after="0"/>
              <w:rPr>
                <w:rFonts w:cs="Arial"/>
                <w:color w:val="000000"/>
                <w:sz w:val="18"/>
                <w:szCs w:val="18"/>
                <w:lang w:eastAsia="en-GB"/>
              </w:rPr>
            </w:pPr>
            <w:r w:rsidRPr="00B91524">
              <w:rPr>
                <w:rFonts w:cs="Arial"/>
                <w:color w:val="000000"/>
                <w:sz w:val="18"/>
                <w:szCs w:val="18"/>
                <w:lang w:eastAsia="en-GB"/>
              </w:rPr>
              <w:t>Soft rock communities</w:t>
            </w:r>
          </w:p>
        </w:tc>
        <w:tc>
          <w:tcPr>
            <w:tcW w:w="815" w:type="pct"/>
            <w:tcBorders>
              <w:top w:val="nil"/>
              <w:left w:val="nil"/>
              <w:bottom w:val="single" w:sz="8" w:space="0" w:color="1D4477"/>
              <w:right w:val="single" w:sz="8" w:space="0" w:color="1D4477"/>
            </w:tcBorders>
            <w:shd w:val="clear" w:color="000000" w:fill="C4D7F0"/>
            <w:vAlign w:val="center"/>
            <w:hideMark/>
          </w:tcPr>
          <w:p w14:paraId="17F9F878" w14:textId="77777777" w:rsidR="00BE32FA" w:rsidRPr="00B91524" w:rsidRDefault="00BE32FA" w:rsidP="00FC1861">
            <w:pPr>
              <w:spacing w:after="0"/>
              <w:rPr>
                <w:rFonts w:cs="Arial"/>
                <w:color w:val="000000"/>
                <w:sz w:val="18"/>
                <w:szCs w:val="18"/>
                <w:lang w:eastAsia="en-GB"/>
              </w:rPr>
            </w:pPr>
            <w:r w:rsidRPr="00B91524">
              <w:rPr>
                <w:rFonts w:cs="Arial"/>
                <w:color w:val="000000"/>
                <w:sz w:val="18"/>
                <w:szCs w:val="18"/>
                <w:lang w:eastAsia="en-GB"/>
              </w:rPr>
              <w:t>None</w:t>
            </w:r>
          </w:p>
        </w:tc>
        <w:tc>
          <w:tcPr>
            <w:tcW w:w="1716" w:type="pct"/>
            <w:tcBorders>
              <w:top w:val="nil"/>
              <w:left w:val="nil"/>
              <w:bottom w:val="single" w:sz="8" w:space="0" w:color="1D4477"/>
              <w:right w:val="single" w:sz="8" w:space="0" w:color="1D4477"/>
            </w:tcBorders>
            <w:shd w:val="clear" w:color="000000" w:fill="C4D7F0"/>
            <w:vAlign w:val="center"/>
            <w:hideMark/>
          </w:tcPr>
          <w:p w14:paraId="6BBDCF29" w14:textId="77777777" w:rsidR="00BE32FA" w:rsidRPr="00B91524" w:rsidRDefault="00BE32FA" w:rsidP="00FC1861">
            <w:pPr>
              <w:spacing w:after="0"/>
              <w:rPr>
                <w:rFonts w:cs="Arial"/>
                <w:color w:val="000000"/>
                <w:sz w:val="18"/>
                <w:szCs w:val="18"/>
                <w:lang w:eastAsia="en-GB"/>
              </w:rPr>
            </w:pPr>
            <w:r w:rsidRPr="00B91524">
              <w:rPr>
                <w:rFonts w:cs="Arial"/>
                <w:color w:val="000000"/>
                <w:sz w:val="18"/>
                <w:szCs w:val="18"/>
                <w:lang w:eastAsia="en-GB"/>
              </w:rPr>
              <w:t>Section 41 Priority Habitat;  FOCI (Peat and Clay Exposures)</w:t>
            </w:r>
          </w:p>
        </w:tc>
        <w:tc>
          <w:tcPr>
            <w:tcW w:w="1074" w:type="pct"/>
            <w:tcBorders>
              <w:top w:val="nil"/>
              <w:left w:val="nil"/>
              <w:bottom w:val="single" w:sz="8" w:space="0" w:color="1D4477"/>
              <w:right w:val="single" w:sz="8" w:space="0" w:color="1D4477"/>
            </w:tcBorders>
            <w:shd w:val="clear" w:color="000000" w:fill="C4D7F0"/>
            <w:vAlign w:val="center"/>
            <w:hideMark/>
          </w:tcPr>
          <w:p w14:paraId="6BC1413E" w14:textId="77777777" w:rsidR="00BE32FA" w:rsidRPr="00B91524" w:rsidRDefault="00BE32FA" w:rsidP="00FC1861">
            <w:pPr>
              <w:spacing w:after="0"/>
              <w:rPr>
                <w:rFonts w:cs="Arial"/>
                <w:color w:val="000000"/>
                <w:sz w:val="18"/>
                <w:szCs w:val="18"/>
                <w:lang w:eastAsia="en-GB"/>
              </w:rPr>
            </w:pPr>
            <w:r w:rsidRPr="00B91524">
              <w:rPr>
                <w:rFonts w:cs="Arial"/>
                <w:color w:val="000000"/>
                <w:sz w:val="18"/>
                <w:szCs w:val="18"/>
                <w:lang w:eastAsia="en-GB"/>
              </w:rPr>
              <w:t>Cable Route potentially within and outside SAC boundary.</w:t>
            </w:r>
          </w:p>
        </w:tc>
      </w:tr>
      <w:tr w:rsidR="00BE32FA" w:rsidRPr="00B91524" w14:paraId="7146B0F6" w14:textId="77777777" w:rsidTr="00FC1861">
        <w:trPr>
          <w:trHeight w:val="495"/>
        </w:trPr>
        <w:tc>
          <w:tcPr>
            <w:tcW w:w="1395" w:type="pct"/>
            <w:tcBorders>
              <w:top w:val="nil"/>
              <w:left w:val="single" w:sz="8" w:space="0" w:color="1D4477"/>
              <w:bottom w:val="single" w:sz="8" w:space="0" w:color="1D4477"/>
              <w:right w:val="single" w:sz="8" w:space="0" w:color="1D4477"/>
            </w:tcBorders>
            <w:shd w:val="clear" w:color="000000" w:fill="C4D7F0"/>
            <w:vAlign w:val="center"/>
            <w:hideMark/>
          </w:tcPr>
          <w:p w14:paraId="0475C4AC" w14:textId="77777777" w:rsidR="00BE32FA" w:rsidRPr="00B91524" w:rsidRDefault="00BE32FA" w:rsidP="00FC1861">
            <w:pPr>
              <w:spacing w:after="0"/>
              <w:rPr>
                <w:rFonts w:cs="Arial"/>
                <w:color w:val="000000"/>
                <w:sz w:val="18"/>
                <w:szCs w:val="18"/>
                <w:lang w:eastAsia="en-GB"/>
              </w:rPr>
            </w:pPr>
            <w:proofErr w:type="spellStart"/>
            <w:r w:rsidRPr="00B91524">
              <w:rPr>
                <w:rFonts w:cs="Arial"/>
                <w:color w:val="000000"/>
                <w:sz w:val="18"/>
                <w:szCs w:val="18"/>
                <w:lang w:eastAsia="en-GB"/>
              </w:rPr>
              <w:lastRenderedPageBreak/>
              <w:t>Seapens</w:t>
            </w:r>
            <w:proofErr w:type="spellEnd"/>
            <w:r w:rsidRPr="00B91524">
              <w:rPr>
                <w:rFonts w:cs="Arial"/>
                <w:color w:val="000000"/>
                <w:sz w:val="18"/>
                <w:szCs w:val="18"/>
                <w:lang w:eastAsia="en-GB"/>
              </w:rPr>
              <w:t xml:space="preserve"> and burrowing megafauna in circalittoral fine mud</w:t>
            </w:r>
          </w:p>
        </w:tc>
        <w:tc>
          <w:tcPr>
            <w:tcW w:w="815" w:type="pct"/>
            <w:tcBorders>
              <w:top w:val="nil"/>
              <w:left w:val="nil"/>
              <w:bottom w:val="single" w:sz="8" w:space="0" w:color="1D4477"/>
              <w:right w:val="single" w:sz="8" w:space="0" w:color="1D4477"/>
            </w:tcBorders>
            <w:shd w:val="clear" w:color="000000" w:fill="C4D7F0"/>
            <w:vAlign w:val="center"/>
            <w:hideMark/>
          </w:tcPr>
          <w:p w14:paraId="3506A1F9" w14:textId="77777777" w:rsidR="00BE32FA" w:rsidRPr="00B91524" w:rsidRDefault="00BE32FA" w:rsidP="00FC1861">
            <w:pPr>
              <w:spacing w:after="0"/>
              <w:rPr>
                <w:rFonts w:cs="Arial"/>
                <w:color w:val="000000"/>
                <w:sz w:val="18"/>
                <w:szCs w:val="18"/>
                <w:lang w:eastAsia="en-GB"/>
              </w:rPr>
            </w:pPr>
            <w:r w:rsidRPr="00B91524">
              <w:rPr>
                <w:rFonts w:cs="Arial"/>
                <w:color w:val="000000"/>
                <w:sz w:val="18"/>
                <w:szCs w:val="18"/>
                <w:lang w:eastAsia="en-GB"/>
              </w:rPr>
              <w:t>None</w:t>
            </w:r>
          </w:p>
        </w:tc>
        <w:tc>
          <w:tcPr>
            <w:tcW w:w="1716" w:type="pct"/>
            <w:tcBorders>
              <w:top w:val="nil"/>
              <w:left w:val="nil"/>
              <w:bottom w:val="single" w:sz="8" w:space="0" w:color="1D4477"/>
              <w:right w:val="single" w:sz="8" w:space="0" w:color="1D4477"/>
            </w:tcBorders>
            <w:shd w:val="clear" w:color="000000" w:fill="C4D7F0"/>
            <w:vAlign w:val="center"/>
            <w:hideMark/>
          </w:tcPr>
          <w:p w14:paraId="5A809CBB" w14:textId="77777777" w:rsidR="00BE32FA" w:rsidRPr="00B91524" w:rsidRDefault="00BE32FA" w:rsidP="00FC1861">
            <w:pPr>
              <w:spacing w:after="0"/>
              <w:rPr>
                <w:rFonts w:cs="Arial"/>
                <w:color w:val="000000"/>
                <w:sz w:val="18"/>
                <w:szCs w:val="18"/>
                <w:lang w:eastAsia="en-GB"/>
              </w:rPr>
            </w:pPr>
            <w:r w:rsidRPr="00B91524">
              <w:rPr>
                <w:rFonts w:cs="Arial"/>
                <w:color w:val="000000"/>
                <w:sz w:val="18"/>
                <w:szCs w:val="18"/>
                <w:lang w:eastAsia="en-GB"/>
              </w:rPr>
              <w:t>Section 41 Priority Habitat; FOCI</w:t>
            </w:r>
          </w:p>
        </w:tc>
        <w:tc>
          <w:tcPr>
            <w:tcW w:w="1074" w:type="pct"/>
            <w:tcBorders>
              <w:top w:val="nil"/>
              <w:left w:val="nil"/>
              <w:bottom w:val="single" w:sz="8" w:space="0" w:color="1D4477"/>
              <w:right w:val="single" w:sz="8" w:space="0" w:color="1D4477"/>
            </w:tcBorders>
            <w:shd w:val="clear" w:color="000000" w:fill="C4D7F0"/>
            <w:vAlign w:val="center"/>
            <w:hideMark/>
          </w:tcPr>
          <w:p w14:paraId="13099285" w14:textId="77777777" w:rsidR="00BE32FA" w:rsidRPr="00B91524" w:rsidRDefault="00BE32FA" w:rsidP="00FC1861">
            <w:pPr>
              <w:spacing w:after="0"/>
              <w:rPr>
                <w:rFonts w:cs="Arial"/>
                <w:color w:val="000000"/>
                <w:sz w:val="18"/>
                <w:szCs w:val="18"/>
                <w:lang w:eastAsia="en-GB"/>
              </w:rPr>
            </w:pPr>
            <w:r w:rsidRPr="00B91524">
              <w:rPr>
                <w:rFonts w:cs="Arial"/>
                <w:color w:val="000000"/>
                <w:sz w:val="18"/>
                <w:szCs w:val="18"/>
                <w:lang w:eastAsia="en-GB"/>
              </w:rPr>
              <w:t>Array / Cable Route</w:t>
            </w:r>
          </w:p>
        </w:tc>
      </w:tr>
      <w:tr w:rsidR="00BE32FA" w:rsidRPr="00B91524" w14:paraId="77C86CAF" w14:textId="77777777" w:rsidTr="00FC1861">
        <w:trPr>
          <w:trHeight w:val="735"/>
        </w:trPr>
        <w:tc>
          <w:tcPr>
            <w:tcW w:w="1395" w:type="pct"/>
            <w:tcBorders>
              <w:top w:val="nil"/>
              <w:left w:val="single" w:sz="8" w:space="0" w:color="1D4477"/>
              <w:bottom w:val="single" w:sz="8" w:space="0" w:color="1D4477"/>
              <w:right w:val="single" w:sz="8" w:space="0" w:color="1D4477"/>
            </w:tcBorders>
            <w:shd w:val="clear" w:color="000000" w:fill="C4D7F0"/>
            <w:vAlign w:val="center"/>
            <w:hideMark/>
          </w:tcPr>
          <w:p w14:paraId="3FFFB37F" w14:textId="77777777" w:rsidR="00BE32FA" w:rsidRPr="00B91524" w:rsidRDefault="00BE32FA" w:rsidP="00FC1861">
            <w:pPr>
              <w:spacing w:after="0"/>
              <w:rPr>
                <w:rFonts w:cs="Arial"/>
                <w:color w:val="000000"/>
                <w:sz w:val="18"/>
                <w:szCs w:val="18"/>
                <w:lang w:eastAsia="en-GB"/>
              </w:rPr>
            </w:pPr>
            <w:proofErr w:type="spellStart"/>
            <w:r w:rsidRPr="00B91524">
              <w:rPr>
                <w:rFonts w:cs="Arial"/>
                <w:color w:val="000000"/>
                <w:sz w:val="18"/>
                <w:szCs w:val="18"/>
                <w:lang w:eastAsia="en-GB"/>
              </w:rPr>
              <w:t>Brittlestar</w:t>
            </w:r>
            <w:proofErr w:type="spellEnd"/>
            <w:r w:rsidRPr="00B91524">
              <w:rPr>
                <w:rFonts w:cs="Arial"/>
                <w:color w:val="000000"/>
                <w:sz w:val="18"/>
                <w:szCs w:val="18"/>
                <w:lang w:eastAsia="en-GB"/>
              </w:rPr>
              <w:t xml:space="preserve"> beds on sublittoral mixed muddy sediments</w:t>
            </w:r>
          </w:p>
        </w:tc>
        <w:tc>
          <w:tcPr>
            <w:tcW w:w="815" w:type="pct"/>
            <w:tcBorders>
              <w:top w:val="nil"/>
              <w:left w:val="nil"/>
              <w:bottom w:val="single" w:sz="8" w:space="0" w:color="1D4477"/>
              <w:right w:val="single" w:sz="8" w:space="0" w:color="1D4477"/>
            </w:tcBorders>
            <w:shd w:val="clear" w:color="000000" w:fill="C4D7F0"/>
            <w:vAlign w:val="center"/>
            <w:hideMark/>
          </w:tcPr>
          <w:p w14:paraId="4F95D8CA" w14:textId="77777777" w:rsidR="00BE32FA" w:rsidRPr="00B91524" w:rsidRDefault="00BE32FA" w:rsidP="00FC1861">
            <w:pPr>
              <w:spacing w:after="0"/>
              <w:rPr>
                <w:rFonts w:cs="Arial"/>
                <w:color w:val="000000"/>
                <w:sz w:val="18"/>
                <w:szCs w:val="18"/>
                <w:lang w:eastAsia="en-GB"/>
              </w:rPr>
            </w:pPr>
            <w:r w:rsidRPr="00B91524">
              <w:rPr>
                <w:rFonts w:cs="Arial"/>
                <w:color w:val="000000"/>
                <w:sz w:val="18"/>
                <w:szCs w:val="18"/>
                <w:lang w:eastAsia="en-GB"/>
              </w:rPr>
              <w:t>None</w:t>
            </w:r>
          </w:p>
        </w:tc>
        <w:tc>
          <w:tcPr>
            <w:tcW w:w="1716" w:type="pct"/>
            <w:tcBorders>
              <w:top w:val="nil"/>
              <w:left w:val="nil"/>
              <w:bottom w:val="single" w:sz="8" w:space="0" w:color="1D4477"/>
              <w:right w:val="single" w:sz="8" w:space="0" w:color="1D4477"/>
            </w:tcBorders>
            <w:shd w:val="clear" w:color="000000" w:fill="C4D7F0"/>
            <w:vAlign w:val="center"/>
            <w:hideMark/>
          </w:tcPr>
          <w:p w14:paraId="42AAAC6D" w14:textId="77777777" w:rsidR="00BE32FA" w:rsidRPr="00B91524" w:rsidRDefault="00BE32FA" w:rsidP="00FC1861">
            <w:pPr>
              <w:spacing w:after="0"/>
              <w:rPr>
                <w:rFonts w:cs="Arial"/>
                <w:color w:val="000000"/>
                <w:sz w:val="18"/>
                <w:szCs w:val="18"/>
                <w:lang w:eastAsia="en-GB"/>
              </w:rPr>
            </w:pPr>
            <w:r w:rsidRPr="00B91524">
              <w:rPr>
                <w:rFonts w:cs="Arial"/>
                <w:color w:val="000000"/>
                <w:sz w:val="18"/>
                <w:szCs w:val="18"/>
                <w:lang w:eastAsia="en-GB"/>
              </w:rPr>
              <w:t>Section 41 Priority Habitat (May occur within sandbanks that are slightly covered by seawater all the time)</w:t>
            </w:r>
          </w:p>
        </w:tc>
        <w:tc>
          <w:tcPr>
            <w:tcW w:w="1074" w:type="pct"/>
            <w:tcBorders>
              <w:top w:val="nil"/>
              <w:left w:val="nil"/>
              <w:bottom w:val="single" w:sz="8" w:space="0" w:color="1D4477"/>
              <w:right w:val="single" w:sz="8" w:space="0" w:color="1D4477"/>
            </w:tcBorders>
            <w:shd w:val="clear" w:color="000000" w:fill="C4D7F0"/>
            <w:vAlign w:val="center"/>
            <w:hideMark/>
          </w:tcPr>
          <w:p w14:paraId="28A5B2C8" w14:textId="77777777" w:rsidR="00BE32FA" w:rsidRPr="00B91524" w:rsidRDefault="00BE32FA" w:rsidP="00FC1861">
            <w:pPr>
              <w:spacing w:after="0"/>
              <w:rPr>
                <w:rFonts w:cs="Arial"/>
                <w:color w:val="000000"/>
                <w:sz w:val="18"/>
                <w:szCs w:val="18"/>
                <w:lang w:eastAsia="en-GB"/>
              </w:rPr>
            </w:pPr>
            <w:r w:rsidRPr="00B91524">
              <w:rPr>
                <w:rFonts w:cs="Arial"/>
                <w:color w:val="000000"/>
                <w:sz w:val="18"/>
                <w:szCs w:val="18"/>
                <w:lang w:eastAsia="en-GB"/>
              </w:rPr>
              <w:t>Array / Cable Route</w:t>
            </w:r>
          </w:p>
        </w:tc>
      </w:tr>
    </w:tbl>
    <w:p w14:paraId="00589820" w14:textId="77777777" w:rsidR="00BD0ED0" w:rsidRPr="00B91524" w:rsidRDefault="00BD0ED0" w:rsidP="00AD53E7">
      <w:pPr>
        <w:pStyle w:val="Appendixsubheading2"/>
        <w:rPr>
          <w:rFonts w:eastAsia="Calibri Light"/>
        </w:rPr>
      </w:pPr>
      <w:bookmarkStart w:id="129" w:name="_Toc46090251"/>
    </w:p>
    <w:p w14:paraId="5EFE6118" w14:textId="7C63163A" w:rsidR="00BE32FA" w:rsidRPr="00B91524" w:rsidRDefault="00BE32FA" w:rsidP="00AD53E7">
      <w:pPr>
        <w:pStyle w:val="Appendixsubheading2"/>
        <w:rPr>
          <w:rFonts w:eastAsia="Calibri Light"/>
        </w:rPr>
      </w:pPr>
      <w:r w:rsidRPr="00B91524">
        <w:rPr>
          <w:rFonts w:eastAsia="Calibri Light"/>
        </w:rPr>
        <w:t>invasive NON-NATIVE species</w:t>
      </w:r>
      <w:bookmarkEnd w:id="129"/>
    </w:p>
    <w:p w14:paraId="5FDFC8BB" w14:textId="77777777" w:rsidR="00BE32FA" w:rsidRPr="00B91524" w:rsidRDefault="00BE32FA" w:rsidP="00BE32FA">
      <w:pPr>
        <w:pStyle w:val="Reportbodytextnumbering"/>
        <w:numPr>
          <w:ilvl w:val="0"/>
          <w:numId w:val="0"/>
        </w:numPr>
      </w:pPr>
      <w:proofErr w:type="spellStart"/>
      <w:r w:rsidRPr="00B91524">
        <w:t>Cefas’</w:t>
      </w:r>
      <w:proofErr w:type="spellEnd"/>
      <w:r w:rsidRPr="00B91524">
        <w:t xml:space="preserve"> </w:t>
      </w:r>
      <w:hyperlink r:id="rId34" w:history="1">
        <w:proofErr w:type="spellStart"/>
        <w:r w:rsidRPr="00B91524">
          <w:rPr>
            <w:rStyle w:val="Hyperlink"/>
            <w:rFonts w:cs="Arial"/>
            <w:color w:val="auto"/>
            <w:spacing w:val="1"/>
          </w:rPr>
          <w:t>OneBenthic</w:t>
        </w:r>
        <w:proofErr w:type="spellEnd"/>
        <w:r w:rsidRPr="00B91524">
          <w:rPr>
            <w:rStyle w:val="Hyperlink"/>
            <w:rFonts w:cs="Arial"/>
            <w:color w:val="auto"/>
            <w:spacing w:val="1"/>
          </w:rPr>
          <w:t xml:space="preserve"> Non-Native Species Tool</w:t>
        </w:r>
      </w:hyperlink>
      <w:r w:rsidRPr="00B91524">
        <w:rPr>
          <w:rFonts w:cs="Arial"/>
        </w:rPr>
        <w:t xml:space="preserve"> </w:t>
      </w:r>
      <w:r w:rsidRPr="00B91524">
        <w:t xml:space="preserve">provides distribution records for non-native benthic species  as identified by the UK Technical Advisory Group (UKTAG) based on large quantities of publicly available grab sample data (including the 2010/2011 site </w:t>
      </w:r>
      <w:proofErr w:type="spellStart"/>
      <w:r w:rsidRPr="00B91524">
        <w:t>characterisation</w:t>
      </w:r>
      <w:proofErr w:type="spellEnd"/>
      <w:r w:rsidRPr="00B91524">
        <w:t xml:space="preserve"> and 2014 JNCC data discussed above). Table F2 sets out a non-exhaustive list of invasive species previously recorded in the vicinity of SOWF with the potential to be found during the BMP surveys.   </w:t>
      </w:r>
    </w:p>
    <w:p w14:paraId="2724A72B" w14:textId="77777777" w:rsidR="00BE32FA" w:rsidRPr="00B91524" w:rsidRDefault="00BE32FA" w:rsidP="00BE32FA">
      <w:pPr>
        <w:pStyle w:val="Caption"/>
        <w:rPr>
          <w:rFonts w:eastAsia="Calibri Light"/>
        </w:rPr>
      </w:pPr>
      <w:r w:rsidRPr="00B91524">
        <w:t xml:space="preserve">Table F2 Non-native benthic species previously recorded or with the potential to occur within or in the vicinity of the SOWF array and export cable corridor. </w:t>
      </w:r>
    </w:p>
    <w:tbl>
      <w:tblPr>
        <w:tblW w:w="5030" w:type="pct"/>
        <w:tblLook w:val="04A0" w:firstRow="1" w:lastRow="0" w:firstColumn="1" w:lastColumn="0" w:noHBand="0" w:noVBand="1"/>
      </w:tblPr>
      <w:tblGrid>
        <w:gridCol w:w="4450"/>
        <w:gridCol w:w="4610"/>
      </w:tblGrid>
      <w:tr w:rsidR="00BE32FA" w:rsidRPr="00B91524" w14:paraId="3A0FD76D" w14:textId="77777777" w:rsidTr="00FC1861">
        <w:trPr>
          <w:trHeight w:val="308"/>
        </w:trPr>
        <w:tc>
          <w:tcPr>
            <w:tcW w:w="2456" w:type="pct"/>
            <w:tcBorders>
              <w:top w:val="single" w:sz="8" w:space="0" w:color="auto"/>
              <w:left w:val="single" w:sz="8" w:space="0" w:color="auto"/>
              <w:bottom w:val="single" w:sz="8" w:space="0" w:color="auto"/>
              <w:right w:val="single" w:sz="8" w:space="0" w:color="auto"/>
            </w:tcBorders>
            <w:shd w:val="clear" w:color="000000" w:fill="1D4477"/>
            <w:vAlign w:val="center"/>
            <w:hideMark/>
          </w:tcPr>
          <w:p w14:paraId="442DF26A" w14:textId="77777777" w:rsidR="00BE32FA" w:rsidRPr="00B91524" w:rsidRDefault="00BE32FA" w:rsidP="00FC1861">
            <w:pPr>
              <w:spacing w:after="0"/>
              <w:jc w:val="center"/>
              <w:rPr>
                <w:rFonts w:cs="Arial"/>
                <w:b/>
                <w:bCs/>
                <w:color w:val="FFFFFF"/>
                <w:sz w:val="18"/>
                <w:szCs w:val="18"/>
                <w:lang w:eastAsia="en-GB"/>
              </w:rPr>
            </w:pPr>
            <w:r w:rsidRPr="00B91524">
              <w:rPr>
                <w:rFonts w:cs="Arial"/>
                <w:b/>
                <w:bCs/>
                <w:color w:val="FFFFFF"/>
                <w:sz w:val="18"/>
                <w:szCs w:val="18"/>
                <w:lang w:eastAsia="en-GB"/>
              </w:rPr>
              <w:t>Species</w:t>
            </w:r>
          </w:p>
        </w:tc>
        <w:tc>
          <w:tcPr>
            <w:tcW w:w="2544" w:type="pct"/>
            <w:tcBorders>
              <w:top w:val="single" w:sz="8" w:space="0" w:color="auto"/>
              <w:left w:val="nil"/>
              <w:bottom w:val="single" w:sz="8" w:space="0" w:color="auto"/>
              <w:right w:val="single" w:sz="8" w:space="0" w:color="auto"/>
            </w:tcBorders>
            <w:shd w:val="clear" w:color="000000" w:fill="1D4477"/>
            <w:vAlign w:val="center"/>
            <w:hideMark/>
          </w:tcPr>
          <w:p w14:paraId="31B9A586" w14:textId="77777777" w:rsidR="00BE32FA" w:rsidRPr="00B91524" w:rsidRDefault="00BE32FA" w:rsidP="00FC1861">
            <w:pPr>
              <w:spacing w:after="0"/>
              <w:jc w:val="center"/>
              <w:rPr>
                <w:rFonts w:cs="Arial"/>
                <w:b/>
                <w:bCs/>
                <w:color w:val="FFFFFF"/>
                <w:sz w:val="18"/>
                <w:szCs w:val="18"/>
                <w:lang w:eastAsia="en-GB"/>
              </w:rPr>
            </w:pPr>
            <w:r w:rsidRPr="00B91524">
              <w:rPr>
                <w:rFonts w:cs="Arial"/>
                <w:b/>
                <w:bCs/>
                <w:color w:val="FFFFFF"/>
                <w:sz w:val="18"/>
                <w:szCs w:val="18"/>
                <w:lang w:eastAsia="en-GB"/>
              </w:rPr>
              <w:t>Common Name</w:t>
            </w:r>
          </w:p>
        </w:tc>
      </w:tr>
      <w:tr w:rsidR="00BE32FA" w:rsidRPr="00B91524" w14:paraId="7189AB4C" w14:textId="77777777" w:rsidTr="00FC1861">
        <w:trPr>
          <w:trHeight w:val="308"/>
        </w:trPr>
        <w:tc>
          <w:tcPr>
            <w:tcW w:w="2456" w:type="pct"/>
            <w:tcBorders>
              <w:top w:val="nil"/>
              <w:left w:val="single" w:sz="8" w:space="0" w:color="1D4477"/>
              <w:bottom w:val="single" w:sz="8" w:space="0" w:color="1D4477"/>
              <w:right w:val="single" w:sz="8" w:space="0" w:color="1D4477"/>
            </w:tcBorders>
            <w:shd w:val="clear" w:color="000000" w:fill="C4D7F0"/>
            <w:vAlign w:val="center"/>
            <w:hideMark/>
          </w:tcPr>
          <w:p w14:paraId="0CC850F5" w14:textId="77777777" w:rsidR="00BE32FA" w:rsidRPr="00B91524" w:rsidRDefault="00BE32FA" w:rsidP="00FC1861">
            <w:pPr>
              <w:spacing w:after="0"/>
              <w:rPr>
                <w:rFonts w:cs="Arial"/>
                <w:i/>
                <w:iCs/>
                <w:color w:val="000000"/>
                <w:sz w:val="18"/>
                <w:szCs w:val="18"/>
                <w:lang w:eastAsia="en-GB"/>
              </w:rPr>
            </w:pPr>
            <w:proofErr w:type="spellStart"/>
            <w:r w:rsidRPr="00B91524">
              <w:rPr>
                <w:rFonts w:cs="Arial"/>
                <w:i/>
                <w:iCs/>
                <w:color w:val="000000"/>
                <w:sz w:val="18"/>
                <w:szCs w:val="18"/>
                <w:lang w:eastAsia="en-GB"/>
              </w:rPr>
              <w:t>Crepidula</w:t>
            </w:r>
            <w:proofErr w:type="spellEnd"/>
            <w:r w:rsidRPr="00B91524">
              <w:rPr>
                <w:rFonts w:cs="Arial"/>
                <w:i/>
                <w:iCs/>
                <w:color w:val="000000"/>
                <w:sz w:val="18"/>
                <w:szCs w:val="18"/>
                <w:lang w:eastAsia="en-GB"/>
              </w:rPr>
              <w:t xml:space="preserve"> </w:t>
            </w:r>
            <w:proofErr w:type="spellStart"/>
            <w:r w:rsidRPr="00B91524">
              <w:rPr>
                <w:rFonts w:cs="Arial"/>
                <w:i/>
                <w:iCs/>
                <w:color w:val="000000"/>
                <w:sz w:val="18"/>
                <w:szCs w:val="18"/>
                <w:lang w:eastAsia="en-GB"/>
              </w:rPr>
              <w:t>fornicata</w:t>
            </w:r>
            <w:proofErr w:type="spellEnd"/>
          </w:p>
        </w:tc>
        <w:tc>
          <w:tcPr>
            <w:tcW w:w="2544" w:type="pct"/>
            <w:tcBorders>
              <w:top w:val="nil"/>
              <w:left w:val="nil"/>
              <w:bottom w:val="single" w:sz="8" w:space="0" w:color="1D4477"/>
              <w:right w:val="single" w:sz="8" w:space="0" w:color="1D4477"/>
            </w:tcBorders>
            <w:shd w:val="clear" w:color="000000" w:fill="C4D7F0"/>
            <w:vAlign w:val="center"/>
            <w:hideMark/>
          </w:tcPr>
          <w:p w14:paraId="7BD6911B" w14:textId="77777777" w:rsidR="00BE32FA" w:rsidRPr="00B91524" w:rsidRDefault="00BE32FA" w:rsidP="00FC1861">
            <w:pPr>
              <w:spacing w:after="0"/>
              <w:rPr>
                <w:rFonts w:cs="Arial"/>
                <w:color w:val="000000"/>
                <w:sz w:val="18"/>
                <w:szCs w:val="18"/>
                <w:lang w:eastAsia="en-GB"/>
              </w:rPr>
            </w:pPr>
            <w:r w:rsidRPr="00B91524">
              <w:rPr>
                <w:rFonts w:cs="Arial"/>
                <w:color w:val="000000"/>
                <w:sz w:val="18"/>
                <w:szCs w:val="18"/>
                <w:lang w:eastAsia="en-GB"/>
              </w:rPr>
              <w:t>Slipper limpet</w:t>
            </w:r>
          </w:p>
        </w:tc>
      </w:tr>
      <w:tr w:rsidR="00BE32FA" w:rsidRPr="00B91524" w14:paraId="6C56BB6C" w14:textId="77777777" w:rsidTr="00FC1861">
        <w:trPr>
          <w:trHeight w:val="327"/>
        </w:trPr>
        <w:tc>
          <w:tcPr>
            <w:tcW w:w="2456" w:type="pct"/>
            <w:tcBorders>
              <w:top w:val="nil"/>
              <w:left w:val="single" w:sz="8" w:space="0" w:color="1D4477"/>
              <w:bottom w:val="single" w:sz="8" w:space="0" w:color="1D4477"/>
              <w:right w:val="single" w:sz="8" w:space="0" w:color="1D4477"/>
            </w:tcBorders>
            <w:shd w:val="clear" w:color="000000" w:fill="C4D7F0"/>
            <w:vAlign w:val="center"/>
            <w:hideMark/>
          </w:tcPr>
          <w:p w14:paraId="497D716E" w14:textId="77777777" w:rsidR="00BE32FA" w:rsidRPr="00B91524" w:rsidRDefault="00BE32FA" w:rsidP="00FC1861">
            <w:pPr>
              <w:spacing w:after="0"/>
              <w:rPr>
                <w:rFonts w:cs="Arial"/>
                <w:i/>
                <w:iCs/>
                <w:color w:val="000000"/>
                <w:sz w:val="18"/>
                <w:szCs w:val="18"/>
                <w:lang w:eastAsia="en-GB"/>
              </w:rPr>
            </w:pPr>
            <w:proofErr w:type="spellStart"/>
            <w:r w:rsidRPr="00B91524">
              <w:rPr>
                <w:rFonts w:cs="Arial"/>
                <w:i/>
                <w:iCs/>
                <w:color w:val="000000"/>
                <w:sz w:val="18"/>
                <w:szCs w:val="18"/>
                <w:lang w:eastAsia="en-GB"/>
              </w:rPr>
              <w:t>Austrominius</w:t>
            </w:r>
            <w:proofErr w:type="spellEnd"/>
            <w:r w:rsidRPr="00B91524">
              <w:rPr>
                <w:rFonts w:cs="Arial"/>
                <w:i/>
                <w:iCs/>
                <w:color w:val="000000"/>
                <w:sz w:val="18"/>
                <w:szCs w:val="18"/>
                <w:lang w:eastAsia="en-GB"/>
              </w:rPr>
              <w:t xml:space="preserve"> </w:t>
            </w:r>
            <w:proofErr w:type="spellStart"/>
            <w:r w:rsidRPr="00B91524">
              <w:rPr>
                <w:rFonts w:cs="Arial"/>
                <w:i/>
                <w:iCs/>
                <w:color w:val="000000"/>
                <w:sz w:val="18"/>
                <w:szCs w:val="18"/>
                <w:lang w:eastAsia="en-GB"/>
              </w:rPr>
              <w:t>modestus</w:t>
            </w:r>
            <w:proofErr w:type="spellEnd"/>
          </w:p>
        </w:tc>
        <w:tc>
          <w:tcPr>
            <w:tcW w:w="2544" w:type="pct"/>
            <w:tcBorders>
              <w:top w:val="nil"/>
              <w:left w:val="nil"/>
              <w:bottom w:val="single" w:sz="8" w:space="0" w:color="1D4477"/>
              <w:right w:val="single" w:sz="8" w:space="0" w:color="1D4477"/>
            </w:tcBorders>
            <w:shd w:val="clear" w:color="000000" w:fill="C4D7F0"/>
            <w:vAlign w:val="center"/>
            <w:hideMark/>
          </w:tcPr>
          <w:p w14:paraId="6C75554F" w14:textId="77777777" w:rsidR="00BE32FA" w:rsidRPr="00B91524" w:rsidRDefault="00BE32FA" w:rsidP="00FC1861">
            <w:pPr>
              <w:spacing w:after="0"/>
              <w:rPr>
                <w:rFonts w:cs="Arial"/>
                <w:color w:val="000000"/>
                <w:sz w:val="18"/>
                <w:szCs w:val="18"/>
                <w:lang w:eastAsia="en-GB"/>
              </w:rPr>
            </w:pPr>
            <w:r w:rsidRPr="00B91524">
              <w:rPr>
                <w:rFonts w:cs="Arial"/>
                <w:color w:val="000000"/>
                <w:sz w:val="18"/>
                <w:szCs w:val="18"/>
                <w:lang w:eastAsia="en-GB"/>
              </w:rPr>
              <w:t>Australasian barnacle</w:t>
            </w:r>
          </w:p>
        </w:tc>
      </w:tr>
      <w:tr w:rsidR="00BE32FA" w:rsidRPr="00B91524" w14:paraId="1282B84C" w14:textId="77777777" w:rsidTr="00FC1861">
        <w:trPr>
          <w:trHeight w:val="403"/>
        </w:trPr>
        <w:tc>
          <w:tcPr>
            <w:tcW w:w="2456" w:type="pct"/>
            <w:tcBorders>
              <w:top w:val="nil"/>
              <w:left w:val="single" w:sz="8" w:space="0" w:color="1D4477"/>
              <w:bottom w:val="single" w:sz="8" w:space="0" w:color="1D4477"/>
              <w:right w:val="single" w:sz="8" w:space="0" w:color="1D4477"/>
            </w:tcBorders>
            <w:shd w:val="clear" w:color="000000" w:fill="C4D7F0"/>
            <w:vAlign w:val="center"/>
            <w:hideMark/>
          </w:tcPr>
          <w:p w14:paraId="566104A9" w14:textId="77777777" w:rsidR="00BE32FA" w:rsidRPr="00B91524" w:rsidRDefault="00BE32FA" w:rsidP="00FC1861">
            <w:pPr>
              <w:spacing w:after="0"/>
              <w:rPr>
                <w:rFonts w:cs="Arial"/>
                <w:i/>
                <w:iCs/>
                <w:color w:val="000000"/>
                <w:sz w:val="18"/>
                <w:szCs w:val="18"/>
                <w:lang w:eastAsia="en-GB"/>
              </w:rPr>
            </w:pPr>
            <w:proofErr w:type="spellStart"/>
            <w:r w:rsidRPr="00B91524">
              <w:rPr>
                <w:rFonts w:cs="Arial"/>
                <w:i/>
                <w:iCs/>
                <w:color w:val="000000"/>
                <w:sz w:val="18"/>
                <w:szCs w:val="18"/>
                <w:lang w:eastAsia="en-GB"/>
              </w:rPr>
              <w:t>Goniadella</w:t>
            </w:r>
            <w:proofErr w:type="spellEnd"/>
            <w:r w:rsidRPr="00B91524">
              <w:rPr>
                <w:rFonts w:cs="Arial"/>
                <w:i/>
                <w:iCs/>
                <w:color w:val="000000"/>
                <w:sz w:val="18"/>
                <w:szCs w:val="18"/>
                <w:lang w:eastAsia="en-GB"/>
              </w:rPr>
              <w:t xml:space="preserve"> </w:t>
            </w:r>
            <w:proofErr w:type="spellStart"/>
            <w:r w:rsidRPr="00B91524">
              <w:rPr>
                <w:rFonts w:cs="Arial"/>
                <w:i/>
                <w:iCs/>
                <w:color w:val="000000"/>
                <w:sz w:val="18"/>
                <w:szCs w:val="18"/>
                <w:lang w:eastAsia="en-GB"/>
              </w:rPr>
              <w:t>gracilis</w:t>
            </w:r>
            <w:proofErr w:type="spellEnd"/>
          </w:p>
        </w:tc>
        <w:tc>
          <w:tcPr>
            <w:tcW w:w="2544" w:type="pct"/>
            <w:tcBorders>
              <w:top w:val="nil"/>
              <w:left w:val="nil"/>
              <w:bottom w:val="single" w:sz="8" w:space="0" w:color="1D4477"/>
              <w:right w:val="single" w:sz="8" w:space="0" w:color="1D4477"/>
            </w:tcBorders>
            <w:shd w:val="clear" w:color="000000" w:fill="C4D7F0"/>
            <w:vAlign w:val="center"/>
            <w:hideMark/>
          </w:tcPr>
          <w:p w14:paraId="62FCACEC" w14:textId="77777777" w:rsidR="00BE32FA" w:rsidRPr="00B91524" w:rsidRDefault="00BE32FA" w:rsidP="00FC1861">
            <w:pPr>
              <w:spacing w:after="0"/>
              <w:rPr>
                <w:rFonts w:cs="Arial"/>
                <w:color w:val="000000"/>
                <w:sz w:val="18"/>
                <w:szCs w:val="18"/>
                <w:lang w:eastAsia="en-GB"/>
              </w:rPr>
            </w:pPr>
            <w:r w:rsidRPr="00B91524">
              <w:rPr>
                <w:rFonts w:cs="Arial"/>
                <w:color w:val="000000"/>
                <w:sz w:val="18"/>
                <w:szCs w:val="18"/>
                <w:lang w:eastAsia="en-GB"/>
              </w:rPr>
              <w:t>A polychaete worm</w:t>
            </w:r>
          </w:p>
        </w:tc>
      </w:tr>
      <w:tr w:rsidR="00BE32FA" w:rsidRPr="00B91524" w14:paraId="04F65240" w14:textId="77777777" w:rsidTr="00FC1861">
        <w:trPr>
          <w:trHeight w:val="308"/>
        </w:trPr>
        <w:tc>
          <w:tcPr>
            <w:tcW w:w="2456" w:type="pct"/>
            <w:tcBorders>
              <w:top w:val="nil"/>
              <w:left w:val="single" w:sz="8" w:space="0" w:color="1D4477"/>
              <w:bottom w:val="single" w:sz="8" w:space="0" w:color="1D4477"/>
              <w:right w:val="single" w:sz="8" w:space="0" w:color="1D4477"/>
            </w:tcBorders>
            <w:shd w:val="clear" w:color="000000" w:fill="C4D7F0"/>
            <w:vAlign w:val="center"/>
            <w:hideMark/>
          </w:tcPr>
          <w:p w14:paraId="3BE4F7ED" w14:textId="77777777" w:rsidR="00BE32FA" w:rsidRPr="00B91524" w:rsidRDefault="00BE32FA" w:rsidP="00FC1861">
            <w:pPr>
              <w:spacing w:after="0"/>
              <w:rPr>
                <w:rFonts w:cs="Arial"/>
                <w:i/>
                <w:iCs/>
                <w:color w:val="000000"/>
                <w:sz w:val="18"/>
                <w:szCs w:val="18"/>
                <w:lang w:eastAsia="en-GB"/>
              </w:rPr>
            </w:pPr>
            <w:r w:rsidRPr="00B91524">
              <w:rPr>
                <w:rFonts w:cs="Arial"/>
                <w:i/>
                <w:iCs/>
                <w:color w:val="000000"/>
                <w:sz w:val="18"/>
                <w:szCs w:val="18"/>
                <w:lang w:eastAsia="en-GB"/>
              </w:rPr>
              <w:t xml:space="preserve">Mya </w:t>
            </w:r>
            <w:proofErr w:type="spellStart"/>
            <w:r w:rsidRPr="00B91524">
              <w:rPr>
                <w:rFonts w:cs="Arial"/>
                <w:i/>
                <w:iCs/>
                <w:color w:val="000000"/>
                <w:sz w:val="18"/>
                <w:szCs w:val="18"/>
                <w:lang w:eastAsia="en-GB"/>
              </w:rPr>
              <w:t>arenaria</w:t>
            </w:r>
            <w:proofErr w:type="spellEnd"/>
          </w:p>
        </w:tc>
        <w:tc>
          <w:tcPr>
            <w:tcW w:w="2544" w:type="pct"/>
            <w:tcBorders>
              <w:top w:val="nil"/>
              <w:left w:val="nil"/>
              <w:bottom w:val="single" w:sz="8" w:space="0" w:color="1D4477"/>
              <w:right w:val="single" w:sz="8" w:space="0" w:color="1D4477"/>
            </w:tcBorders>
            <w:shd w:val="clear" w:color="000000" w:fill="C4D7F0"/>
            <w:vAlign w:val="center"/>
            <w:hideMark/>
          </w:tcPr>
          <w:p w14:paraId="5A082167" w14:textId="77777777" w:rsidR="00BE32FA" w:rsidRPr="00B91524" w:rsidRDefault="00BE32FA" w:rsidP="00FC1861">
            <w:pPr>
              <w:spacing w:after="0"/>
              <w:rPr>
                <w:rFonts w:cs="Arial"/>
                <w:color w:val="000000"/>
                <w:sz w:val="18"/>
                <w:szCs w:val="18"/>
                <w:lang w:eastAsia="en-GB"/>
              </w:rPr>
            </w:pPr>
            <w:r w:rsidRPr="00B91524">
              <w:rPr>
                <w:rFonts w:cs="Arial"/>
                <w:color w:val="000000"/>
                <w:sz w:val="18"/>
                <w:szCs w:val="18"/>
                <w:lang w:eastAsia="en-GB"/>
              </w:rPr>
              <w:t>Sand gaper</w:t>
            </w:r>
          </w:p>
        </w:tc>
      </w:tr>
      <w:tr w:rsidR="00BE32FA" w:rsidRPr="00B91524" w14:paraId="65F84B68" w14:textId="77777777" w:rsidTr="00FC1861">
        <w:trPr>
          <w:trHeight w:val="371"/>
        </w:trPr>
        <w:tc>
          <w:tcPr>
            <w:tcW w:w="2456" w:type="pct"/>
            <w:tcBorders>
              <w:top w:val="nil"/>
              <w:left w:val="single" w:sz="8" w:space="0" w:color="1D4477"/>
              <w:bottom w:val="single" w:sz="8" w:space="0" w:color="1D4477"/>
              <w:right w:val="single" w:sz="8" w:space="0" w:color="1D4477"/>
            </w:tcBorders>
            <w:shd w:val="clear" w:color="000000" w:fill="C4D7F0"/>
            <w:vAlign w:val="center"/>
            <w:hideMark/>
          </w:tcPr>
          <w:p w14:paraId="78BE0EF4" w14:textId="77777777" w:rsidR="00BE32FA" w:rsidRPr="00B91524" w:rsidRDefault="00BE32FA" w:rsidP="00FC1861">
            <w:pPr>
              <w:spacing w:after="0"/>
              <w:rPr>
                <w:rFonts w:cs="Arial"/>
                <w:i/>
                <w:iCs/>
                <w:color w:val="000000"/>
                <w:sz w:val="18"/>
                <w:szCs w:val="18"/>
                <w:lang w:eastAsia="en-GB"/>
              </w:rPr>
            </w:pPr>
            <w:proofErr w:type="spellStart"/>
            <w:r w:rsidRPr="00B91524">
              <w:rPr>
                <w:rFonts w:cs="Arial"/>
                <w:i/>
                <w:iCs/>
                <w:color w:val="000000"/>
                <w:sz w:val="18"/>
                <w:szCs w:val="18"/>
                <w:lang w:eastAsia="en-GB"/>
              </w:rPr>
              <w:t>Petricolaria</w:t>
            </w:r>
            <w:proofErr w:type="spellEnd"/>
            <w:r w:rsidRPr="00B91524">
              <w:rPr>
                <w:rFonts w:cs="Arial"/>
                <w:i/>
                <w:iCs/>
                <w:color w:val="000000"/>
                <w:sz w:val="18"/>
                <w:szCs w:val="18"/>
                <w:lang w:eastAsia="en-GB"/>
              </w:rPr>
              <w:t xml:space="preserve"> </w:t>
            </w:r>
            <w:proofErr w:type="spellStart"/>
            <w:r w:rsidRPr="00B91524">
              <w:rPr>
                <w:rFonts w:cs="Arial"/>
                <w:i/>
                <w:iCs/>
                <w:color w:val="000000"/>
                <w:sz w:val="18"/>
                <w:szCs w:val="18"/>
                <w:lang w:eastAsia="en-GB"/>
              </w:rPr>
              <w:t>pholadiformis</w:t>
            </w:r>
            <w:proofErr w:type="spellEnd"/>
          </w:p>
        </w:tc>
        <w:tc>
          <w:tcPr>
            <w:tcW w:w="2544" w:type="pct"/>
            <w:tcBorders>
              <w:top w:val="nil"/>
              <w:left w:val="nil"/>
              <w:bottom w:val="single" w:sz="8" w:space="0" w:color="1D4477"/>
              <w:right w:val="single" w:sz="8" w:space="0" w:color="1D4477"/>
            </w:tcBorders>
            <w:shd w:val="clear" w:color="000000" w:fill="C4D7F0"/>
            <w:vAlign w:val="center"/>
            <w:hideMark/>
          </w:tcPr>
          <w:p w14:paraId="2E509F34" w14:textId="77777777" w:rsidR="00BE32FA" w:rsidRPr="00B91524" w:rsidRDefault="00BE32FA" w:rsidP="00FC1861">
            <w:pPr>
              <w:spacing w:after="0"/>
              <w:rPr>
                <w:rFonts w:cs="Arial"/>
                <w:color w:val="000000"/>
                <w:sz w:val="18"/>
                <w:szCs w:val="18"/>
                <w:lang w:eastAsia="en-GB"/>
              </w:rPr>
            </w:pPr>
            <w:r w:rsidRPr="00B91524">
              <w:rPr>
                <w:rFonts w:cs="Arial"/>
                <w:color w:val="000000"/>
                <w:sz w:val="18"/>
                <w:szCs w:val="18"/>
                <w:lang w:eastAsia="en-GB"/>
              </w:rPr>
              <w:t>American piddock</w:t>
            </w:r>
          </w:p>
        </w:tc>
      </w:tr>
    </w:tbl>
    <w:p w14:paraId="0171B37F" w14:textId="77777777" w:rsidR="00BE32FA" w:rsidRPr="00B91524" w:rsidRDefault="00BE32FA" w:rsidP="00BE32FA">
      <w:pPr>
        <w:pStyle w:val="Reportbodytextnumbering"/>
        <w:numPr>
          <w:ilvl w:val="0"/>
          <w:numId w:val="0"/>
        </w:numPr>
        <w:ind w:left="710"/>
      </w:pPr>
    </w:p>
    <w:p w14:paraId="0C68E185" w14:textId="7D99F72F" w:rsidR="00BE32FA" w:rsidRPr="00B91524" w:rsidRDefault="00BE32FA" w:rsidP="00D66ACD">
      <w:pPr>
        <w:rPr>
          <w:rFonts w:ascii="Calibri Light" w:eastAsiaTheme="minorHAnsi" w:hAnsi="Calibri Light" w:cs="Calibri Light"/>
          <w:color w:val="000000"/>
          <w:szCs w:val="22"/>
        </w:rPr>
        <w:sectPr w:rsidR="00BE32FA" w:rsidRPr="00B91524">
          <w:pgSz w:w="11906" w:h="16838"/>
          <w:pgMar w:top="1440" w:right="1440" w:bottom="1440" w:left="1440" w:header="709" w:footer="709" w:gutter="0"/>
          <w:cols w:space="720"/>
        </w:sectPr>
      </w:pPr>
    </w:p>
    <w:p w14:paraId="69F820F5" w14:textId="14F8E179" w:rsidR="00B839CE" w:rsidRPr="00B91524" w:rsidRDefault="00EF4119" w:rsidP="006523F4">
      <w:pPr>
        <w:pStyle w:val="Appendix"/>
        <w:keepNext/>
        <w:widowControl w:val="0"/>
        <w:tabs>
          <w:tab w:val="left" w:pos="851"/>
        </w:tabs>
        <w:spacing w:before="0" w:after="0"/>
        <w:ind w:left="0" w:right="301" w:firstLine="0"/>
      </w:pPr>
      <w:bookmarkStart w:id="130" w:name="_Toc46090237"/>
      <w:bookmarkStart w:id="131" w:name="_Toc74670347"/>
      <w:r w:rsidRPr="00B91524">
        <w:lastRenderedPageBreak/>
        <w:t>Offshore In Principle Monitoring Plan and rationale of monitoring presented within this benthic Monitoring  plan</w:t>
      </w:r>
      <w:bookmarkEnd w:id="130"/>
      <w:bookmarkEnd w:id="131"/>
    </w:p>
    <w:p w14:paraId="751DD5EF" w14:textId="0A7B62FE" w:rsidR="00B839CE" w:rsidRPr="00B91524" w:rsidRDefault="00E24FEB" w:rsidP="007908D8">
      <w:pPr>
        <w:pStyle w:val="appendixbodytextnumbering"/>
        <w:numPr>
          <w:ilvl w:val="0"/>
          <w:numId w:val="0"/>
        </w:numPr>
        <w:ind w:left="851"/>
        <w:rPr>
          <w:lang w:eastAsia="en-US"/>
        </w:rPr>
      </w:pPr>
      <w:r w:rsidRPr="00B91524">
        <w:rPr>
          <w:noProof/>
        </w:rPr>
        <w:drawing>
          <wp:anchor distT="0" distB="0" distL="114300" distR="114300" simplePos="0" relativeHeight="251683327" behindDoc="0" locked="0" layoutInCell="1" allowOverlap="1" wp14:anchorId="3AD89175" wp14:editId="3E5B2B8E">
            <wp:simplePos x="0" y="0"/>
            <wp:positionH relativeFrom="margin">
              <wp:align>right</wp:align>
            </wp:positionH>
            <wp:positionV relativeFrom="paragraph">
              <wp:posOffset>328295</wp:posOffset>
            </wp:positionV>
            <wp:extent cx="8863330" cy="2934970"/>
            <wp:effectExtent l="0" t="0" r="0" b="0"/>
            <wp:wrapTopAndBottom/>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8863330" cy="2934970"/>
                    </a:xfrm>
                    <a:prstGeom prst="rect">
                      <a:avLst/>
                    </a:prstGeom>
                  </pic:spPr>
                </pic:pic>
              </a:graphicData>
            </a:graphic>
          </wp:anchor>
        </w:drawing>
      </w:r>
    </w:p>
    <w:p w14:paraId="62CB75B6" w14:textId="77777777" w:rsidR="004A5E59" w:rsidRPr="00B91524" w:rsidRDefault="00C76797" w:rsidP="004A5E59">
      <w:pPr>
        <w:pStyle w:val="Appendix"/>
        <w:keepNext/>
        <w:widowControl w:val="0"/>
        <w:numPr>
          <w:ilvl w:val="0"/>
          <w:numId w:val="0"/>
        </w:numPr>
        <w:tabs>
          <w:tab w:val="left" w:pos="851"/>
        </w:tabs>
        <w:spacing w:before="0" w:after="0"/>
        <w:ind w:right="301"/>
        <w:sectPr w:rsidR="004A5E59" w:rsidRPr="00B91524">
          <w:headerReference w:type="default" r:id="rId36"/>
          <w:pgSz w:w="16838" w:h="11906" w:orient="landscape"/>
          <w:pgMar w:top="1440" w:right="1440" w:bottom="1440" w:left="1440" w:header="709" w:footer="709" w:gutter="0"/>
          <w:cols w:space="720"/>
        </w:sectPr>
      </w:pPr>
      <w:r w:rsidRPr="00B91524">
        <w:br w:type="page"/>
      </w:r>
    </w:p>
    <w:p w14:paraId="5FA119CB" w14:textId="1F6151B2" w:rsidR="004A5E59" w:rsidRPr="00B91524" w:rsidRDefault="004A5E59" w:rsidP="004A5E59">
      <w:pPr>
        <w:pStyle w:val="Caption"/>
      </w:pPr>
      <w:bookmarkStart w:id="132" w:name="_Toc41050530"/>
      <w:r w:rsidRPr="00B91524">
        <w:lastRenderedPageBreak/>
        <w:t xml:space="preserve">Table </w:t>
      </w:r>
      <w:r w:rsidR="004C0186" w:rsidRPr="00B91524">
        <w:t>A1</w:t>
      </w:r>
      <w:r w:rsidRPr="00B91524">
        <w:t xml:space="preserve"> Rationale of monitoring presented with the </w:t>
      </w:r>
      <w:r w:rsidR="00A80666" w:rsidRPr="00B91524">
        <w:t>Bent</w:t>
      </w:r>
      <w:r w:rsidR="00FC39EC" w:rsidRPr="00B91524">
        <w:t>h</w:t>
      </w:r>
      <w:r w:rsidR="00A80666" w:rsidRPr="00B91524">
        <w:t>ic</w:t>
      </w:r>
      <w:r w:rsidRPr="00B91524">
        <w:t xml:space="preserve"> Monitoring Plan in relation to the Offshore In Principle Monitoring Plan.</w:t>
      </w:r>
      <w:bookmarkEnd w:id="132"/>
    </w:p>
    <w:tbl>
      <w:tblPr>
        <w:tblW w:w="14024" w:type="dxa"/>
        <w:tblLook w:val="04A0" w:firstRow="1" w:lastRow="0" w:firstColumn="1" w:lastColumn="0" w:noHBand="0" w:noVBand="1"/>
      </w:tblPr>
      <w:tblGrid>
        <w:gridCol w:w="1160"/>
        <w:gridCol w:w="1240"/>
        <w:gridCol w:w="1418"/>
        <w:gridCol w:w="1984"/>
        <w:gridCol w:w="2126"/>
        <w:gridCol w:w="2672"/>
        <w:gridCol w:w="3424"/>
      </w:tblGrid>
      <w:tr w:rsidR="000E2DD1" w:rsidRPr="00B91524" w14:paraId="2BBF09E3" w14:textId="77777777" w:rsidTr="000E2DD1">
        <w:trPr>
          <w:trHeight w:val="465"/>
        </w:trPr>
        <w:tc>
          <w:tcPr>
            <w:tcW w:w="1160" w:type="dxa"/>
            <w:tcBorders>
              <w:top w:val="single" w:sz="8" w:space="0" w:color="auto"/>
              <w:left w:val="single" w:sz="8" w:space="0" w:color="auto"/>
              <w:bottom w:val="single" w:sz="8" w:space="0" w:color="auto"/>
              <w:right w:val="single" w:sz="8" w:space="0" w:color="auto"/>
            </w:tcBorders>
            <w:shd w:val="clear" w:color="000000" w:fill="1D4477"/>
            <w:vAlign w:val="center"/>
            <w:hideMark/>
          </w:tcPr>
          <w:p w14:paraId="3E28BF27" w14:textId="77777777" w:rsidR="000E2DD1" w:rsidRPr="00B91524" w:rsidRDefault="000E2DD1" w:rsidP="000E2DD1">
            <w:pPr>
              <w:spacing w:after="0"/>
              <w:jc w:val="center"/>
              <w:rPr>
                <w:rFonts w:cs="Arial"/>
                <w:b/>
                <w:bCs/>
                <w:color w:val="FFFFFF"/>
                <w:sz w:val="16"/>
                <w:szCs w:val="16"/>
                <w:lang w:eastAsia="en-GB"/>
              </w:rPr>
            </w:pPr>
            <w:r w:rsidRPr="00B91524">
              <w:rPr>
                <w:rFonts w:cs="Arial"/>
                <w:b/>
                <w:bCs/>
                <w:color w:val="FFFFFF"/>
                <w:sz w:val="16"/>
                <w:szCs w:val="16"/>
                <w:lang w:val="en-US" w:eastAsia="en-GB"/>
              </w:rPr>
              <w:t>Potential effect</w:t>
            </w:r>
          </w:p>
        </w:tc>
        <w:tc>
          <w:tcPr>
            <w:tcW w:w="1240" w:type="dxa"/>
            <w:tcBorders>
              <w:top w:val="single" w:sz="8" w:space="0" w:color="auto"/>
              <w:left w:val="nil"/>
              <w:bottom w:val="single" w:sz="8" w:space="0" w:color="auto"/>
              <w:right w:val="single" w:sz="8" w:space="0" w:color="auto"/>
            </w:tcBorders>
            <w:shd w:val="clear" w:color="000000" w:fill="1D4477"/>
            <w:vAlign w:val="center"/>
            <w:hideMark/>
          </w:tcPr>
          <w:p w14:paraId="3C39FFE1" w14:textId="77777777" w:rsidR="000E2DD1" w:rsidRPr="00B91524" w:rsidRDefault="000E2DD1" w:rsidP="000E2DD1">
            <w:pPr>
              <w:spacing w:after="0"/>
              <w:jc w:val="center"/>
              <w:rPr>
                <w:rFonts w:cs="Arial"/>
                <w:b/>
                <w:bCs/>
                <w:color w:val="FFFFFF" w:themeColor="background1"/>
                <w:sz w:val="16"/>
                <w:szCs w:val="16"/>
                <w:lang w:eastAsia="en-GB"/>
              </w:rPr>
            </w:pPr>
            <w:r w:rsidRPr="00B91524">
              <w:rPr>
                <w:rFonts w:cs="Arial"/>
                <w:b/>
                <w:bCs/>
                <w:color w:val="FFFFFF" w:themeColor="background1"/>
                <w:sz w:val="16"/>
                <w:szCs w:val="16"/>
                <w:lang w:val="en-US" w:eastAsia="en-GB"/>
              </w:rPr>
              <w:t>Receptor/s</w:t>
            </w:r>
          </w:p>
        </w:tc>
        <w:tc>
          <w:tcPr>
            <w:tcW w:w="1418" w:type="dxa"/>
            <w:tcBorders>
              <w:top w:val="single" w:sz="8" w:space="0" w:color="auto"/>
              <w:left w:val="nil"/>
              <w:bottom w:val="single" w:sz="8" w:space="0" w:color="auto"/>
              <w:right w:val="single" w:sz="8" w:space="0" w:color="auto"/>
            </w:tcBorders>
            <w:shd w:val="clear" w:color="000000" w:fill="1D4477"/>
            <w:vAlign w:val="center"/>
            <w:hideMark/>
          </w:tcPr>
          <w:p w14:paraId="181A23DF" w14:textId="77777777" w:rsidR="000E2DD1" w:rsidRPr="00B91524" w:rsidRDefault="000E2DD1" w:rsidP="000E2DD1">
            <w:pPr>
              <w:spacing w:after="0"/>
              <w:jc w:val="center"/>
              <w:rPr>
                <w:rFonts w:cs="Arial"/>
                <w:b/>
                <w:bCs/>
                <w:color w:val="FFFFFF" w:themeColor="background1"/>
                <w:sz w:val="16"/>
                <w:szCs w:val="16"/>
                <w:lang w:eastAsia="en-GB"/>
              </w:rPr>
            </w:pPr>
            <w:r w:rsidRPr="00B91524">
              <w:rPr>
                <w:rFonts w:cs="Arial"/>
                <w:b/>
                <w:bCs/>
                <w:color w:val="FFFFFF" w:themeColor="background1"/>
                <w:sz w:val="16"/>
                <w:szCs w:val="16"/>
                <w:lang w:val="en-US" w:eastAsia="en-GB"/>
              </w:rPr>
              <w:t>Phase</w:t>
            </w:r>
          </w:p>
        </w:tc>
        <w:tc>
          <w:tcPr>
            <w:tcW w:w="1984" w:type="dxa"/>
            <w:tcBorders>
              <w:top w:val="single" w:sz="8" w:space="0" w:color="auto"/>
              <w:left w:val="nil"/>
              <w:bottom w:val="single" w:sz="8" w:space="0" w:color="auto"/>
              <w:right w:val="single" w:sz="8" w:space="0" w:color="auto"/>
            </w:tcBorders>
            <w:shd w:val="clear" w:color="000000" w:fill="1D4477"/>
            <w:vAlign w:val="center"/>
            <w:hideMark/>
          </w:tcPr>
          <w:p w14:paraId="3DDEE047" w14:textId="77777777" w:rsidR="000E2DD1" w:rsidRPr="00B91524" w:rsidRDefault="000E2DD1" w:rsidP="000E2DD1">
            <w:pPr>
              <w:spacing w:after="0"/>
              <w:jc w:val="center"/>
              <w:rPr>
                <w:rFonts w:cs="Arial"/>
                <w:b/>
                <w:bCs/>
                <w:color w:val="FFFFFF" w:themeColor="background1"/>
                <w:sz w:val="16"/>
                <w:szCs w:val="16"/>
                <w:lang w:eastAsia="en-GB"/>
              </w:rPr>
            </w:pPr>
            <w:r w:rsidRPr="00B91524">
              <w:rPr>
                <w:rFonts w:cs="Arial"/>
                <w:b/>
                <w:bCs/>
                <w:color w:val="FFFFFF" w:themeColor="background1"/>
                <w:sz w:val="16"/>
                <w:szCs w:val="16"/>
                <w:lang w:val="en-US" w:eastAsia="en-GB"/>
              </w:rPr>
              <w:t>Headline reason/s for monitoring</w:t>
            </w:r>
          </w:p>
        </w:tc>
        <w:tc>
          <w:tcPr>
            <w:tcW w:w="2126" w:type="dxa"/>
            <w:tcBorders>
              <w:top w:val="single" w:sz="8" w:space="0" w:color="auto"/>
              <w:left w:val="nil"/>
              <w:bottom w:val="single" w:sz="8" w:space="0" w:color="auto"/>
              <w:right w:val="single" w:sz="8" w:space="0" w:color="auto"/>
            </w:tcBorders>
            <w:shd w:val="clear" w:color="000000" w:fill="1D4477"/>
            <w:vAlign w:val="center"/>
            <w:hideMark/>
          </w:tcPr>
          <w:p w14:paraId="2A4EDB76" w14:textId="77777777" w:rsidR="000E2DD1" w:rsidRPr="00B91524" w:rsidRDefault="000E2DD1" w:rsidP="000E2DD1">
            <w:pPr>
              <w:spacing w:after="0"/>
              <w:jc w:val="center"/>
              <w:rPr>
                <w:rFonts w:cs="Arial"/>
                <w:b/>
                <w:bCs/>
                <w:color w:val="FFFFFF" w:themeColor="background1"/>
                <w:sz w:val="16"/>
                <w:szCs w:val="16"/>
                <w:lang w:eastAsia="en-GB"/>
              </w:rPr>
            </w:pPr>
            <w:r w:rsidRPr="00B91524">
              <w:rPr>
                <w:rFonts w:cs="Arial"/>
                <w:b/>
                <w:bCs/>
                <w:color w:val="FFFFFF" w:themeColor="background1"/>
                <w:sz w:val="16"/>
                <w:szCs w:val="16"/>
                <w:lang w:val="en-US" w:eastAsia="en-GB"/>
              </w:rPr>
              <w:t>Monitoring proposed in the IPMP</w:t>
            </w:r>
          </w:p>
        </w:tc>
        <w:tc>
          <w:tcPr>
            <w:tcW w:w="2672" w:type="dxa"/>
            <w:tcBorders>
              <w:top w:val="single" w:sz="8" w:space="0" w:color="auto"/>
              <w:left w:val="nil"/>
              <w:bottom w:val="single" w:sz="8" w:space="0" w:color="auto"/>
              <w:right w:val="single" w:sz="8" w:space="0" w:color="auto"/>
            </w:tcBorders>
            <w:shd w:val="clear" w:color="000000" w:fill="1D4477"/>
            <w:vAlign w:val="center"/>
            <w:hideMark/>
          </w:tcPr>
          <w:p w14:paraId="2E460546" w14:textId="77777777" w:rsidR="000E2DD1" w:rsidRPr="00B91524" w:rsidRDefault="000E2DD1" w:rsidP="000E2DD1">
            <w:pPr>
              <w:spacing w:after="0"/>
              <w:jc w:val="center"/>
              <w:rPr>
                <w:rFonts w:cs="Arial"/>
                <w:b/>
                <w:bCs/>
                <w:color w:val="FFFFFF" w:themeColor="background1"/>
                <w:sz w:val="16"/>
                <w:szCs w:val="16"/>
                <w:lang w:eastAsia="en-GB"/>
              </w:rPr>
            </w:pPr>
            <w:r w:rsidRPr="00B91524">
              <w:rPr>
                <w:rFonts w:cs="Arial"/>
                <w:b/>
                <w:bCs/>
                <w:color w:val="FFFFFF" w:themeColor="background1"/>
                <w:sz w:val="16"/>
                <w:szCs w:val="16"/>
                <w:lang w:val="en-US" w:eastAsia="en-GB"/>
              </w:rPr>
              <w:t>Details within the IPMP</w:t>
            </w:r>
          </w:p>
        </w:tc>
        <w:tc>
          <w:tcPr>
            <w:tcW w:w="3424" w:type="dxa"/>
            <w:tcBorders>
              <w:top w:val="single" w:sz="8" w:space="0" w:color="auto"/>
              <w:left w:val="nil"/>
              <w:bottom w:val="single" w:sz="8" w:space="0" w:color="auto"/>
              <w:right w:val="single" w:sz="8" w:space="0" w:color="auto"/>
            </w:tcBorders>
            <w:shd w:val="clear" w:color="000000" w:fill="1D4477"/>
            <w:vAlign w:val="center"/>
            <w:hideMark/>
          </w:tcPr>
          <w:p w14:paraId="4F452C3D" w14:textId="77777777" w:rsidR="000E2DD1" w:rsidRPr="00B91524" w:rsidRDefault="000E2DD1" w:rsidP="000E2DD1">
            <w:pPr>
              <w:spacing w:after="0"/>
              <w:jc w:val="center"/>
              <w:rPr>
                <w:rFonts w:cs="Arial"/>
                <w:b/>
                <w:bCs/>
                <w:color w:val="FFFFFF" w:themeColor="background1"/>
                <w:sz w:val="16"/>
                <w:szCs w:val="16"/>
                <w:lang w:eastAsia="en-GB"/>
              </w:rPr>
            </w:pPr>
            <w:r w:rsidRPr="00B91524">
              <w:rPr>
                <w:rFonts w:cs="Arial"/>
                <w:b/>
                <w:bCs/>
                <w:color w:val="FFFFFF" w:themeColor="background1"/>
                <w:sz w:val="16"/>
                <w:szCs w:val="16"/>
                <w:lang w:val="en-US" w:eastAsia="en-GB"/>
              </w:rPr>
              <w:t>Rationale of monitoring presented within BMP</w:t>
            </w:r>
          </w:p>
        </w:tc>
      </w:tr>
      <w:tr w:rsidR="000E2DD1" w:rsidRPr="00B91524" w14:paraId="0793FF4B" w14:textId="77777777" w:rsidTr="000E2DD1">
        <w:trPr>
          <w:trHeight w:val="2844"/>
        </w:trPr>
        <w:tc>
          <w:tcPr>
            <w:tcW w:w="1160" w:type="dxa"/>
            <w:vMerge w:val="restart"/>
            <w:tcBorders>
              <w:top w:val="nil"/>
              <w:left w:val="single" w:sz="8" w:space="0" w:color="000000"/>
              <w:bottom w:val="single" w:sz="8" w:space="0" w:color="000000"/>
              <w:right w:val="single" w:sz="8" w:space="0" w:color="000000"/>
            </w:tcBorders>
            <w:shd w:val="clear" w:color="000000" w:fill="C4D7F0"/>
            <w:vAlign w:val="center"/>
            <w:hideMark/>
          </w:tcPr>
          <w:p w14:paraId="5AEB0841" w14:textId="77777777" w:rsidR="000E2DD1" w:rsidRPr="00B91524" w:rsidRDefault="000E2DD1" w:rsidP="000E2DD1">
            <w:pPr>
              <w:spacing w:after="0"/>
              <w:jc w:val="both"/>
              <w:rPr>
                <w:rFonts w:cs="Arial"/>
                <w:sz w:val="16"/>
                <w:szCs w:val="16"/>
                <w:lang w:eastAsia="en-GB"/>
              </w:rPr>
            </w:pPr>
            <w:r w:rsidRPr="00B91524">
              <w:rPr>
                <w:rFonts w:cs="Arial"/>
                <w:sz w:val="16"/>
                <w:szCs w:val="16"/>
                <w:lang w:val="en-US" w:eastAsia="en-GB"/>
              </w:rPr>
              <w:t>Effects on Annex I habitats</w:t>
            </w:r>
          </w:p>
        </w:tc>
        <w:tc>
          <w:tcPr>
            <w:tcW w:w="1240" w:type="dxa"/>
            <w:vMerge w:val="restart"/>
            <w:tcBorders>
              <w:top w:val="nil"/>
              <w:left w:val="single" w:sz="8" w:space="0" w:color="000000"/>
              <w:bottom w:val="single" w:sz="8" w:space="0" w:color="000000"/>
              <w:right w:val="single" w:sz="8" w:space="0" w:color="000000"/>
            </w:tcBorders>
            <w:shd w:val="clear" w:color="000000" w:fill="C4D7F0"/>
            <w:vAlign w:val="center"/>
            <w:hideMark/>
          </w:tcPr>
          <w:p w14:paraId="05A887B3" w14:textId="77777777" w:rsidR="000E2DD1" w:rsidRPr="00B91524" w:rsidRDefault="000E2DD1" w:rsidP="000E2DD1">
            <w:pPr>
              <w:spacing w:after="0"/>
              <w:jc w:val="both"/>
              <w:rPr>
                <w:rFonts w:cs="Arial"/>
                <w:sz w:val="16"/>
                <w:szCs w:val="16"/>
                <w:lang w:eastAsia="en-GB"/>
              </w:rPr>
            </w:pPr>
            <w:r w:rsidRPr="00B91524">
              <w:rPr>
                <w:rFonts w:cs="Arial"/>
                <w:sz w:val="16"/>
                <w:szCs w:val="16"/>
                <w:lang w:val="en-US" w:eastAsia="en-GB"/>
              </w:rPr>
              <w:t>Annex I habitats and linked receptor groups e.g. fish</w:t>
            </w:r>
          </w:p>
        </w:tc>
        <w:tc>
          <w:tcPr>
            <w:tcW w:w="1418" w:type="dxa"/>
            <w:vMerge w:val="restart"/>
            <w:tcBorders>
              <w:top w:val="nil"/>
              <w:left w:val="single" w:sz="8" w:space="0" w:color="000000"/>
              <w:bottom w:val="single" w:sz="8" w:space="0" w:color="000000"/>
              <w:right w:val="single" w:sz="8" w:space="0" w:color="000000"/>
            </w:tcBorders>
            <w:shd w:val="clear" w:color="000000" w:fill="C4D7F0"/>
            <w:vAlign w:val="center"/>
            <w:hideMark/>
          </w:tcPr>
          <w:p w14:paraId="2D6A8897" w14:textId="12F8C9A0" w:rsidR="000E2DD1" w:rsidRPr="00B91524" w:rsidRDefault="000E2DD1" w:rsidP="000E2DD1">
            <w:pPr>
              <w:spacing w:after="0"/>
              <w:jc w:val="both"/>
              <w:rPr>
                <w:rFonts w:cs="Arial"/>
                <w:sz w:val="16"/>
                <w:szCs w:val="16"/>
                <w:lang w:eastAsia="en-GB"/>
              </w:rPr>
            </w:pPr>
            <w:r w:rsidRPr="00B91524">
              <w:rPr>
                <w:rFonts w:cs="Arial"/>
                <w:sz w:val="16"/>
                <w:szCs w:val="16"/>
                <w:lang w:val="en-US" w:eastAsia="en-GB"/>
              </w:rPr>
              <w:t>Pre-construction</w:t>
            </w:r>
          </w:p>
        </w:tc>
        <w:tc>
          <w:tcPr>
            <w:tcW w:w="1984" w:type="dxa"/>
            <w:tcBorders>
              <w:top w:val="nil"/>
              <w:left w:val="nil"/>
              <w:bottom w:val="nil"/>
              <w:right w:val="single" w:sz="8" w:space="0" w:color="000000"/>
            </w:tcBorders>
            <w:shd w:val="clear" w:color="000000" w:fill="C4D7F0"/>
            <w:vAlign w:val="center"/>
            <w:hideMark/>
          </w:tcPr>
          <w:p w14:paraId="6B06C2EC" w14:textId="77777777" w:rsidR="000E2DD1" w:rsidRPr="00B91524" w:rsidRDefault="000E2DD1" w:rsidP="000E2DD1">
            <w:pPr>
              <w:spacing w:after="0"/>
              <w:jc w:val="both"/>
              <w:rPr>
                <w:rFonts w:ascii="Symbol" w:hAnsi="Symbol" w:cs="Calibri"/>
                <w:sz w:val="16"/>
                <w:szCs w:val="16"/>
                <w:lang w:eastAsia="en-GB"/>
              </w:rPr>
            </w:pPr>
            <w:r w:rsidRPr="00B91524">
              <w:rPr>
                <w:rFonts w:ascii="Symbol" w:eastAsia="Symbol" w:hAnsi="Symbol" w:cs="Symbol"/>
                <w:sz w:val="16"/>
                <w:szCs w:val="16"/>
                <w:lang w:val="en-US" w:eastAsia="en-GB"/>
              </w:rPr>
              <w:t></w:t>
            </w:r>
            <w:r w:rsidRPr="00B91524">
              <w:rPr>
                <w:rFonts w:ascii="Times New Roman" w:eastAsia="Symbol" w:hAnsi="Times New Roman"/>
                <w:sz w:val="16"/>
                <w:szCs w:val="16"/>
                <w:lang w:val="en-US" w:eastAsia="en-GB"/>
              </w:rPr>
              <w:t xml:space="preserve">         </w:t>
            </w:r>
            <w:r w:rsidRPr="00B91524">
              <w:rPr>
                <w:rFonts w:eastAsia="Symbol" w:cs="Arial"/>
                <w:sz w:val="16"/>
                <w:szCs w:val="16"/>
                <w:lang w:val="en-US" w:eastAsia="en-GB"/>
              </w:rPr>
              <w:t xml:space="preserve">Establish location and extent of benthic Annex I habitats within the order limits (outside of the Dogger Bank SCI) and validate associated predictions made in the Environmental Statement (Natural England and JNCC requirement) </w:t>
            </w:r>
          </w:p>
        </w:tc>
        <w:tc>
          <w:tcPr>
            <w:tcW w:w="2126" w:type="dxa"/>
            <w:vMerge w:val="restart"/>
            <w:tcBorders>
              <w:top w:val="nil"/>
              <w:left w:val="single" w:sz="8" w:space="0" w:color="000000"/>
              <w:bottom w:val="single" w:sz="8" w:space="0" w:color="000000"/>
              <w:right w:val="single" w:sz="8" w:space="0" w:color="000000"/>
            </w:tcBorders>
            <w:shd w:val="clear" w:color="000000" w:fill="C4D7F0"/>
            <w:vAlign w:val="center"/>
            <w:hideMark/>
          </w:tcPr>
          <w:p w14:paraId="7D70CF2B" w14:textId="77777777" w:rsidR="000E2DD1" w:rsidRPr="00B91524" w:rsidRDefault="000E2DD1" w:rsidP="000E2DD1">
            <w:pPr>
              <w:spacing w:after="0"/>
              <w:jc w:val="both"/>
              <w:rPr>
                <w:rFonts w:cs="Arial"/>
                <w:sz w:val="16"/>
                <w:szCs w:val="16"/>
                <w:lang w:eastAsia="en-GB"/>
              </w:rPr>
            </w:pPr>
            <w:r w:rsidRPr="00B91524">
              <w:rPr>
                <w:rFonts w:cs="Arial"/>
                <w:sz w:val="16"/>
                <w:szCs w:val="16"/>
                <w:lang w:val="en-US" w:eastAsia="en-GB"/>
              </w:rPr>
              <w:t>Appropriate surveys (likely to be SSS/AGDS/DDV/Grab) to determine the location and reasonable extent of any benthic habitats of conservation, ecological and/or economic importance (including Annex I habitats) in whole or in part inside the area(s) within the Order limits in which it is proposed to carry out construction works.</w:t>
            </w:r>
          </w:p>
        </w:tc>
        <w:tc>
          <w:tcPr>
            <w:tcW w:w="2672" w:type="dxa"/>
            <w:tcBorders>
              <w:top w:val="nil"/>
              <w:left w:val="nil"/>
              <w:bottom w:val="nil"/>
              <w:right w:val="single" w:sz="8" w:space="0" w:color="000000"/>
            </w:tcBorders>
            <w:shd w:val="clear" w:color="000000" w:fill="C4D7F0"/>
            <w:vAlign w:val="center"/>
            <w:hideMark/>
          </w:tcPr>
          <w:p w14:paraId="6BC89323" w14:textId="77777777" w:rsidR="000E2DD1" w:rsidRPr="00B91524" w:rsidRDefault="000E2DD1" w:rsidP="000E2DD1">
            <w:pPr>
              <w:spacing w:after="0"/>
              <w:jc w:val="both"/>
              <w:rPr>
                <w:rFonts w:cs="Arial"/>
                <w:sz w:val="16"/>
                <w:szCs w:val="16"/>
                <w:lang w:eastAsia="en-GB"/>
              </w:rPr>
            </w:pPr>
            <w:r w:rsidRPr="00B91524">
              <w:rPr>
                <w:rFonts w:cs="Arial"/>
                <w:sz w:val="16"/>
                <w:szCs w:val="16"/>
                <w:lang w:val="en-US" w:eastAsia="en-GB"/>
              </w:rPr>
              <w:t>To include a pre-construction survey to confirm whether Annex I habitats (cobble reef) are identified in the export cable corridor. Appropriate consideration shall be given to monitoring the presence of any invasive non-native species (INNS) and wider community type/structure, to identify changes that may affect site integrity.</w:t>
            </w:r>
          </w:p>
        </w:tc>
        <w:tc>
          <w:tcPr>
            <w:tcW w:w="3424" w:type="dxa"/>
            <w:tcBorders>
              <w:top w:val="nil"/>
              <w:left w:val="nil"/>
              <w:bottom w:val="nil"/>
              <w:right w:val="single" w:sz="8" w:space="0" w:color="000000"/>
            </w:tcBorders>
            <w:shd w:val="clear" w:color="000000" w:fill="C4D7F0"/>
            <w:vAlign w:val="center"/>
            <w:hideMark/>
          </w:tcPr>
          <w:p w14:paraId="08C1A2EC" w14:textId="77777777" w:rsidR="000E2DD1" w:rsidRPr="00B91524" w:rsidRDefault="000E2DD1" w:rsidP="000E2DD1">
            <w:pPr>
              <w:spacing w:after="0"/>
              <w:jc w:val="both"/>
              <w:rPr>
                <w:rFonts w:cs="Arial"/>
                <w:sz w:val="16"/>
                <w:szCs w:val="16"/>
                <w:lang w:eastAsia="en-GB"/>
              </w:rPr>
            </w:pPr>
            <w:r w:rsidRPr="00B91524">
              <w:rPr>
                <w:rFonts w:cs="Arial"/>
                <w:sz w:val="16"/>
                <w:szCs w:val="16"/>
                <w:lang w:val="en-US" w:eastAsia="en-GB"/>
              </w:rPr>
              <w:t xml:space="preserve">Geophysical surveys as defined within the approved Geophysical (Bathymetrical) Monitoring Plan (SOWFL, 2019a) together with </w:t>
            </w:r>
            <w:proofErr w:type="spellStart"/>
            <w:r w:rsidRPr="00B91524">
              <w:rPr>
                <w:rFonts w:cs="Arial"/>
                <w:sz w:val="16"/>
                <w:szCs w:val="16"/>
                <w:lang w:val="en-US" w:eastAsia="en-GB"/>
              </w:rPr>
              <w:t>characterisation</w:t>
            </w:r>
            <w:proofErr w:type="spellEnd"/>
            <w:r w:rsidRPr="00B91524">
              <w:rPr>
                <w:rFonts w:cs="Arial"/>
                <w:sz w:val="16"/>
                <w:szCs w:val="16"/>
                <w:lang w:val="en-US" w:eastAsia="en-GB"/>
              </w:rPr>
              <w:t xml:space="preserve"> (DDC and grab) sampling are being undertaken in 2020 (See Section 4.2).</w:t>
            </w:r>
          </w:p>
        </w:tc>
      </w:tr>
      <w:tr w:rsidR="000E2DD1" w:rsidRPr="00B91524" w14:paraId="518DD334" w14:textId="77777777" w:rsidTr="000E2DD1">
        <w:trPr>
          <w:trHeight w:val="1575"/>
        </w:trPr>
        <w:tc>
          <w:tcPr>
            <w:tcW w:w="1160" w:type="dxa"/>
            <w:vMerge/>
            <w:tcBorders>
              <w:top w:val="nil"/>
              <w:left w:val="single" w:sz="8" w:space="0" w:color="000000"/>
              <w:bottom w:val="single" w:sz="8" w:space="0" w:color="000000"/>
              <w:right w:val="single" w:sz="8" w:space="0" w:color="000000"/>
            </w:tcBorders>
            <w:vAlign w:val="center"/>
            <w:hideMark/>
          </w:tcPr>
          <w:p w14:paraId="53B5A5A1" w14:textId="77777777" w:rsidR="000E2DD1" w:rsidRPr="00B91524" w:rsidRDefault="000E2DD1" w:rsidP="000E2DD1">
            <w:pPr>
              <w:spacing w:after="0"/>
              <w:rPr>
                <w:rFonts w:cs="Arial"/>
                <w:sz w:val="16"/>
                <w:szCs w:val="16"/>
                <w:lang w:eastAsia="en-GB"/>
              </w:rPr>
            </w:pPr>
          </w:p>
        </w:tc>
        <w:tc>
          <w:tcPr>
            <w:tcW w:w="1240" w:type="dxa"/>
            <w:vMerge/>
            <w:tcBorders>
              <w:top w:val="nil"/>
              <w:left w:val="single" w:sz="8" w:space="0" w:color="000000"/>
              <w:bottom w:val="single" w:sz="8" w:space="0" w:color="000000"/>
              <w:right w:val="single" w:sz="8" w:space="0" w:color="000000"/>
            </w:tcBorders>
            <w:vAlign w:val="center"/>
            <w:hideMark/>
          </w:tcPr>
          <w:p w14:paraId="7A9FF2F7" w14:textId="77777777" w:rsidR="000E2DD1" w:rsidRPr="00B91524" w:rsidRDefault="000E2DD1" w:rsidP="000E2DD1">
            <w:pPr>
              <w:spacing w:after="0"/>
              <w:rPr>
                <w:rFonts w:cs="Arial"/>
                <w:sz w:val="16"/>
                <w:szCs w:val="16"/>
                <w:lang w:eastAsia="en-GB"/>
              </w:rPr>
            </w:pPr>
          </w:p>
        </w:tc>
        <w:tc>
          <w:tcPr>
            <w:tcW w:w="1418" w:type="dxa"/>
            <w:vMerge/>
            <w:tcBorders>
              <w:top w:val="nil"/>
              <w:left w:val="single" w:sz="8" w:space="0" w:color="000000"/>
              <w:bottom w:val="single" w:sz="8" w:space="0" w:color="000000"/>
              <w:right w:val="single" w:sz="8" w:space="0" w:color="000000"/>
            </w:tcBorders>
            <w:vAlign w:val="center"/>
            <w:hideMark/>
          </w:tcPr>
          <w:p w14:paraId="6538F9FF" w14:textId="77777777" w:rsidR="000E2DD1" w:rsidRPr="00B91524" w:rsidRDefault="000E2DD1" w:rsidP="000E2DD1">
            <w:pPr>
              <w:spacing w:after="0"/>
              <w:rPr>
                <w:rFonts w:cs="Arial"/>
                <w:sz w:val="16"/>
                <w:szCs w:val="16"/>
                <w:lang w:eastAsia="en-GB"/>
              </w:rPr>
            </w:pPr>
          </w:p>
        </w:tc>
        <w:tc>
          <w:tcPr>
            <w:tcW w:w="1984" w:type="dxa"/>
            <w:tcBorders>
              <w:top w:val="nil"/>
              <w:left w:val="nil"/>
              <w:bottom w:val="nil"/>
              <w:right w:val="single" w:sz="8" w:space="0" w:color="000000"/>
            </w:tcBorders>
            <w:shd w:val="clear" w:color="000000" w:fill="C4D7F0"/>
            <w:vAlign w:val="center"/>
            <w:hideMark/>
          </w:tcPr>
          <w:p w14:paraId="55DB86AC" w14:textId="77777777" w:rsidR="000E2DD1" w:rsidRPr="00B91524" w:rsidRDefault="000E2DD1" w:rsidP="000E2DD1">
            <w:pPr>
              <w:spacing w:after="0"/>
              <w:jc w:val="both"/>
              <w:rPr>
                <w:rFonts w:ascii="Symbol" w:hAnsi="Symbol" w:cs="Calibri"/>
                <w:sz w:val="16"/>
                <w:szCs w:val="16"/>
                <w:lang w:eastAsia="en-GB"/>
              </w:rPr>
            </w:pPr>
            <w:r w:rsidRPr="00B91524">
              <w:rPr>
                <w:rFonts w:ascii="Symbol" w:eastAsia="Symbol" w:hAnsi="Symbol" w:cs="Symbol"/>
                <w:sz w:val="16"/>
                <w:szCs w:val="16"/>
                <w:lang w:val="en-US" w:eastAsia="en-GB"/>
              </w:rPr>
              <w:t></w:t>
            </w:r>
            <w:r w:rsidRPr="00B91524">
              <w:rPr>
                <w:rFonts w:ascii="Times New Roman" w:eastAsia="Symbol" w:hAnsi="Times New Roman"/>
                <w:sz w:val="16"/>
                <w:szCs w:val="16"/>
                <w:lang w:val="en-US" w:eastAsia="en-GB"/>
              </w:rPr>
              <w:t xml:space="preserve">         </w:t>
            </w:r>
            <w:r w:rsidRPr="00B91524">
              <w:rPr>
                <w:rFonts w:eastAsia="Symbol" w:cs="Arial"/>
                <w:sz w:val="16"/>
                <w:szCs w:val="16"/>
                <w:lang w:val="en-US" w:eastAsia="en-GB"/>
              </w:rPr>
              <w:t xml:space="preserve">To potentially microsite project infrastructure away from Annex I habitats, where required </w:t>
            </w:r>
          </w:p>
        </w:tc>
        <w:tc>
          <w:tcPr>
            <w:tcW w:w="2126" w:type="dxa"/>
            <w:vMerge/>
            <w:tcBorders>
              <w:top w:val="nil"/>
              <w:left w:val="single" w:sz="8" w:space="0" w:color="000000"/>
              <w:bottom w:val="single" w:sz="8" w:space="0" w:color="000000"/>
              <w:right w:val="single" w:sz="8" w:space="0" w:color="000000"/>
            </w:tcBorders>
            <w:vAlign w:val="center"/>
            <w:hideMark/>
          </w:tcPr>
          <w:p w14:paraId="61CA68EC" w14:textId="77777777" w:rsidR="000E2DD1" w:rsidRPr="00B91524" w:rsidRDefault="000E2DD1" w:rsidP="000E2DD1">
            <w:pPr>
              <w:spacing w:after="0"/>
              <w:rPr>
                <w:rFonts w:cs="Arial"/>
                <w:sz w:val="16"/>
                <w:szCs w:val="16"/>
                <w:lang w:eastAsia="en-GB"/>
              </w:rPr>
            </w:pPr>
          </w:p>
        </w:tc>
        <w:tc>
          <w:tcPr>
            <w:tcW w:w="2672" w:type="dxa"/>
            <w:tcBorders>
              <w:top w:val="nil"/>
              <w:left w:val="nil"/>
              <w:bottom w:val="nil"/>
              <w:right w:val="single" w:sz="8" w:space="0" w:color="000000"/>
            </w:tcBorders>
            <w:shd w:val="clear" w:color="000000" w:fill="C4D7F0"/>
            <w:vAlign w:val="center"/>
            <w:hideMark/>
          </w:tcPr>
          <w:p w14:paraId="2D2809EA" w14:textId="77777777" w:rsidR="000E2DD1" w:rsidRPr="00B91524" w:rsidRDefault="000E2DD1" w:rsidP="000E2DD1">
            <w:pPr>
              <w:spacing w:after="0"/>
              <w:jc w:val="both"/>
              <w:rPr>
                <w:rFonts w:cs="Arial"/>
                <w:sz w:val="16"/>
                <w:szCs w:val="16"/>
                <w:lang w:eastAsia="en-GB"/>
              </w:rPr>
            </w:pPr>
            <w:r w:rsidRPr="00B91524">
              <w:rPr>
                <w:rFonts w:cs="Arial"/>
                <w:sz w:val="16"/>
                <w:szCs w:val="16"/>
                <w:lang w:val="en-US" w:eastAsia="en-GB"/>
              </w:rPr>
              <w:t>Surveys undertaken will inform any mitigation plan in relation to habitats of conservation, ecological and/or economic importance (including Annex I habitats).</w:t>
            </w:r>
          </w:p>
        </w:tc>
        <w:tc>
          <w:tcPr>
            <w:tcW w:w="3424" w:type="dxa"/>
            <w:tcBorders>
              <w:top w:val="nil"/>
              <w:left w:val="nil"/>
              <w:bottom w:val="nil"/>
              <w:right w:val="single" w:sz="8" w:space="0" w:color="000000"/>
            </w:tcBorders>
            <w:shd w:val="clear" w:color="000000" w:fill="C4D7F0"/>
            <w:vAlign w:val="center"/>
            <w:hideMark/>
          </w:tcPr>
          <w:p w14:paraId="74112A39" w14:textId="77777777" w:rsidR="000E2DD1" w:rsidRPr="00B91524" w:rsidRDefault="000E2DD1" w:rsidP="000E2DD1">
            <w:pPr>
              <w:spacing w:after="0"/>
              <w:jc w:val="both"/>
              <w:rPr>
                <w:rFonts w:cs="Arial"/>
                <w:sz w:val="16"/>
                <w:szCs w:val="16"/>
                <w:lang w:eastAsia="en-GB"/>
              </w:rPr>
            </w:pPr>
            <w:r w:rsidRPr="00B91524">
              <w:rPr>
                <w:rFonts w:cs="Arial"/>
                <w:sz w:val="16"/>
                <w:szCs w:val="16"/>
                <w:lang w:val="en-US" w:eastAsia="en-GB"/>
              </w:rPr>
              <w:t>Areas of Focus have been identified (Sections 5 and 6) based on CEEI habitats that may potentially be affected by the construction and operation of SOWF (namely geogenic and biogenic reefs, hard substrate and the Dogger Bank SAC sandbank feature.  The sampling and analysis methods proposed (Section 7) will also enable consideration of invasive species and community type/structure.</w:t>
            </w:r>
          </w:p>
        </w:tc>
      </w:tr>
      <w:tr w:rsidR="000E2DD1" w:rsidRPr="00B91524" w14:paraId="1AA94EE7" w14:textId="77777777" w:rsidTr="000E2DD1">
        <w:trPr>
          <w:trHeight w:val="912"/>
        </w:trPr>
        <w:tc>
          <w:tcPr>
            <w:tcW w:w="1160" w:type="dxa"/>
            <w:vMerge/>
            <w:tcBorders>
              <w:top w:val="nil"/>
              <w:left w:val="single" w:sz="8" w:space="0" w:color="000000"/>
              <w:bottom w:val="single" w:sz="8" w:space="0" w:color="000000"/>
              <w:right w:val="single" w:sz="8" w:space="0" w:color="000000"/>
            </w:tcBorders>
            <w:vAlign w:val="center"/>
            <w:hideMark/>
          </w:tcPr>
          <w:p w14:paraId="48EC4D87" w14:textId="77777777" w:rsidR="000E2DD1" w:rsidRPr="00B91524" w:rsidRDefault="000E2DD1" w:rsidP="000E2DD1">
            <w:pPr>
              <w:spacing w:after="0"/>
              <w:rPr>
                <w:rFonts w:cs="Arial"/>
                <w:sz w:val="16"/>
                <w:szCs w:val="16"/>
                <w:lang w:eastAsia="en-GB"/>
              </w:rPr>
            </w:pPr>
          </w:p>
        </w:tc>
        <w:tc>
          <w:tcPr>
            <w:tcW w:w="1240" w:type="dxa"/>
            <w:vMerge/>
            <w:tcBorders>
              <w:top w:val="nil"/>
              <w:left w:val="single" w:sz="8" w:space="0" w:color="000000"/>
              <w:bottom w:val="single" w:sz="8" w:space="0" w:color="000000"/>
              <w:right w:val="single" w:sz="8" w:space="0" w:color="000000"/>
            </w:tcBorders>
            <w:vAlign w:val="center"/>
            <w:hideMark/>
          </w:tcPr>
          <w:p w14:paraId="2C671381" w14:textId="77777777" w:rsidR="000E2DD1" w:rsidRPr="00B91524" w:rsidRDefault="000E2DD1" w:rsidP="000E2DD1">
            <w:pPr>
              <w:spacing w:after="0"/>
              <w:rPr>
                <w:rFonts w:cs="Arial"/>
                <w:sz w:val="16"/>
                <w:szCs w:val="16"/>
                <w:lang w:eastAsia="en-GB"/>
              </w:rPr>
            </w:pPr>
          </w:p>
        </w:tc>
        <w:tc>
          <w:tcPr>
            <w:tcW w:w="1418" w:type="dxa"/>
            <w:vMerge/>
            <w:tcBorders>
              <w:top w:val="nil"/>
              <w:left w:val="single" w:sz="8" w:space="0" w:color="000000"/>
              <w:bottom w:val="single" w:sz="8" w:space="0" w:color="000000"/>
              <w:right w:val="single" w:sz="8" w:space="0" w:color="000000"/>
            </w:tcBorders>
            <w:vAlign w:val="center"/>
            <w:hideMark/>
          </w:tcPr>
          <w:p w14:paraId="0963FF14" w14:textId="77777777" w:rsidR="000E2DD1" w:rsidRPr="00B91524" w:rsidRDefault="000E2DD1" w:rsidP="000E2DD1">
            <w:pPr>
              <w:spacing w:after="0"/>
              <w:rPr>
                <w:rFonts w:cs="Arial"/>
                <w:sz w:val="16"/>
                <w:szCs w:val="16"/>
                <w:lang w:eastAsia="en-GB"/>
              </w:rPr>
            </w:pPr>
          </w:p>
        </w:tc>
        <w:tc>
          <w:tcPr>
            <w:tcW w:w="1984" w:type="dxa"/>
            <w:tcBorders>
              <w:top w:val="nil"/>
              <w:left w:val="nil"/>
              <w:bottom w:val="single" w:sz="8" w:space="0" w:color="000000"/>
              <w:right w:val="single" w:sz="8" w:space="0" w:color="000000"/>
            </w:tcBorders>
            <w:shd w:val="clear" w:color="000000" w:fill="C4D7F0"/>
            <w:vAlign w:val="center"/>
            <w:hideMark/>
          </w:tcPr>
          <w:p w14:paraId="5C3D531E" w14:textId="77777777" w:rsidR="000E2DD1" w:rsidRPr="00B91524" w:rsidRDefault="000E2DD1" w:rsidP="000E2DD1">
            <w:pPr>
              <w:spacing w:after="0"/>
              <w:jc w:val="both"/>
              <w:rPr>
                <w:rFonts w:ascii="Symbol" w:hAnsi="Symbol" w:cs="Calibri"/>
                <w:sz w:val="16"/>
                <w:szCs w:val="16"/>
                <w:lang w:eastAsia="en-GB"/>
              </w:rPr>
            </w:pPr>
            <w:r w:rsidRPr="00B91524">
              <w:rPr>
                <w:rFonts w:ascii="Symbol" w:eastAsia="Symbol" w:hAnsi="Symbol" w:cs="Symbol"/>
                <w:sz w:val="16"/>
                <w:szCs w:val="16"/>
                <w:lang w:val="en-US" w:eastAsia="en-GB"/>
              </w:rPr>
              <w:t></w:t>
            </w:r>
            <w:r w:rsidRPr="00B91524">
              <w:rPr>
                <w:rFonts w:ascii="Times New Roman" w:eastAsia="Symbol" w:hAnsi="Times New Roman"/>
                <w:sz w:val="16"/>
                <w:szCs w:val="16"/>
                <w:lang w:val="en-US" w:eastAsia="en-GB"/>
              </w:rPr>
              <w:t xml:space="preserve">         </w:t>
            </w:r>
            <w:r w:rsidRPr="00B91524">
              <w:rPr>
                <w:rFonts w:eastAsia="Symbol" w:cs="Arial"/>
                <w:sz w:val="16"/>
                <w:szCs w:val="16"/>
                <w:lang w:val="en-US" w:eastAsia="en-GB"/>
              </w:rPr>
              <w:t>Regional seabed monitoring to identify suitable areas within the array boundaries, for disposal of drill arisings/spoil should it be required</w:t>
            </w:r>
          </w:p>
        </w:tc>
        <w:tc>
          <w:tcPr>
            <w:tcW w:w="2126" w:type="dxa"/>
            <w:vMerge/>
            <w:tcBorders>
              <w:top w:val="nil"/>
              <w:left w:val="single" w:sz="8" w:space="0" w:color="000000"/>
              <w:bottom w:val="single" w:sz="8" w:space="0" w:color="000000"/>
              <w:right w:val="single" w:sz="8" w:space="0" w:color="000000"/>
            </w:tcBorders>
            <w:vAlign w:val="center"/>
            <w:hideMark/>
          </w:tcPr>
          <w:p w14:paraId="37AA9039" w14:textId="77777777" w:rsidR="000E2DD1" w:rsidRPr="00B91524" w:rsidRDefault="000E2DD1" w:rsidP="000E2DD1">
            <w:pPr>
              <w:spacing w:after="0"/>
              <w:rPr>
                <w:rFonts w:cs="Arial"/>
                <w:sz w:val="16"/>
                <w:szCs w:val="16"/>
                <w:lang w:eastAsia="en-GB"/>
              </w:rPr>
            </w:pPr>
          </w:p>
        </w:tc>
        <w:tc>
          <w:tcPr>
            <w:tcW w:w="2672" w:type="dxa"/>
            <w:tcBorders>
              <w:top w:val="nil"/>
              <w:left w:val="nil"/>
              <w:bottom w:val="nil"/>
              <w:right w:val="single" w:sz="8" w:space="0" w:color="000000"/>
            </w:tcBorders>
            <w:shd w:val="clear" w:color="000000" w:fill="C4D7F0"/>
            <w:hideMark/>
          </w:tcPr>
          <w:p w14:paraId="256BAAE2" w14:textId="77777777" w:rsidR="000E2DD1" w:rsidRPr="00B91524" w:rsidRDefault="000E2DD1" w:rsidP="000E2DD1">
            <w:pPr>
              <w:spacing w:after="0"/>
              <w:rPr>
                <w:rFonts w:ascii="Calibri" w:hAnsi="Calibri" w:cs="Calibri"/>
                <w:sz w:val="16"/>
                <w:szCs w:val="16"/>
                <w:lang w:eastAsia="en-GB"/>
              </w:rPr>
            </w:pPr>
            <w:r w:rsidRPr="00B91524">
              <w:rPr>
                <w:rFonts w:ascii="Calibri" w:hAnsi="Calibri" w:cs="Calibri"/>
                <w:sz w:val="16"/>
                <w:szCs w:val="16"/>
                <w:lang w:eastAsia="en-GB"/>
              </w:rPr>
              <w:t> </w:t>
            </w:r>
          </w:p>
        </w:tc>
        <w:tc>
          <w:tcPr>
            <w:tcW w:w="3424" w:type="dxa"/>
            <w:tcBorders>
              <w:top w:val="nil"/>
              <w:left w:val="nil"/>
              <w:bottom w:val="single" w:sz="8" w:space="0" w:color="000000"/>
              <w:right w:val="single" w:sz="8" w:space="0" w:color="000000"/>
            </w:tcBorders>
            <w:shd w:val="clear" w:color="000000" w:fill="C4D7F0"/>
            <w:hideMark/>
          </w:tcPr>
          <w:p w14:paraId="2E876137" w14:textId="77777777" w:rsidR="000E2DD1" w:rsidRPr="00B91524" w:rsidRDefault="000E2DD1" w:rsidP="000E2DD1">
            <w:pPr>
              <w:spacing w:after="0"/>
              <w:rPr>
                <w:rFonts w:ascii="Calibri" w:hAnsi="Calibri" w:cs="Calibri"/>
                <w:sz w:val="16"/>
                <w:szCs w:val="16"/>
                <w:lang w:eastAsia="en-GB"/>
              </w:rPr>
            </w:pPr>
            <w:r w:rsidRPr="00B91524">
              <w:rPr>
                <w:rFonts w:ascii="Calibri" w:hAnsi="Calibri" w:cs="Calibri"/>
                <w:sz w:val="16"/>
                <w:szCs w:val="16"/>
                <w:lang w:eastAsia="en-GB"/>
              </w:rPr>
              <w:t> </w:t>
            </w:r>
          </w:p>
        </w:tc>
      </w:tr>
      <w:tr w:rsidR="000E2DD1" w:rsidRPr="00B91524" w14:paraId="093DE848" w14:textId="77777777" w:rsidTr="000E2DD1">
        <w:trPr>
          <w:trHeight w:val="675"/>
        </w:trPr>
        <w:tc>
          <w:tcPr>
            <w:tcW w:w="1160" w:type="dxa"/>
            <w:vMerge/>
            <w:tcBorders>
              <w:top w:val="nil"/>
              <w:left w:val="single" w:sz="8" w:space="0" w:color="000000"/>
              <w:bottom w:val="single" w:sz="8" w:space="0" w:color="000000"/>
              <w:right w:val="single" w:sz="8" w:space="0" w:color="000000"/>
            </w:tcBorders>
            <w:vAlign w:val="center"/>
            <w:hideMark/>
          </w:tcPr>
          <w:p w14:paraId="6C44B82D" w14:textId="77777777" w:rsidR="000E2DD1" w:rsidRPr="00B91524" w:rsidRDefault="000E2DD1" w:rsidP="000E2DD1">
            <w:pPr>
              <w:spacing w:after="0"/>
              <w:rPr>
                <w:rFonts w:cs="Arial"/>
                <w:sz w:val="16"/>
                <w:szCs w:val="16"/>
                <w:lang w:eastAsia="en-GB"/>
              </w:rPr>
            </w:pPr>
          </w:p>
        </w:tc>
        <w:tc>
          <w:tcPr>
            <w:tcW w:w="1240" w:type="dxa"/>
            <w:vMerge/>
            <w:tcBorders>
              <w:top w:val="nil"/>
              <w:left w:val="single" w:sz="8" w:space="0" w:color="000000"/>
              <w:bottom w:val="single" w:sz="8" w:space="0" w:color="000000"/>
              <w:right w:val="single" w:sz="8" w:space="0" w:color="000000"/>
            </w:tcBorders>
            <w:vAlign w:val="center"/>
            <w:hideMark/>
          </w:tcPr>
          <w:p w14:paraId="235A8265" w14:textId="77777777" w:rsidR="000E2DD1" w:rsidRPr="00B91524" w:rsidRDefault="000E2DD1" w:rsidP="000E2DD1">
            <w:pPr>
              <w:spacing w:after="0"/>
              <w:rPr>
                <w:rFonts w:cs="Arial"/>
                <w:sz w:val="16"/>
                <w:szCs w:val="16"/>
                <w:lang w:eastAsia="en-GB"/>
              </w:rPr>
            </w:pPr>
          </w:p>
        </w:tc>
        <w:tc>
          <w:tcPr>
            <w:tcW w:w="1418" w:type="dxa"/>
            <w:vMerge w:val="restart"/>
            <w:tcBorders>
              <w:top w:val="nil"/>
              <w:left w:val="single" w:sz="8" w:space="0" w:color="000000"/>
              <w:bottom w:val="single" w:sz="8" w:space="0" w:color="000000"/>
              <w:right w:val="single" w:sz="8" w:space="0" w:color="000000"/>
            </w:tcBorders>
            <w:shd w:val="clear" w:color="000000" w:fill="C4D7F0"/>
            <w:vAlign w:val="center"/>
            <w:hideMark/>
          </w:tcPr>
          <w:p w14:paraId="624933D5" w14:textId="74385496" w:rsidR="000E2DD1" w:rsidRPr="00B91524" w:rsidRDefault="000E2DD1" w:rsidP="000E2DD1">
            <w:pPr>
              <w:spacing w:after="0"/>
              <w:jc w:val="both"/>
              <w:rPr>
                <w:rFonts w:cs="Arial"/>
                <w:sz w:val="16"/>
                <w:szCs w:val="16"/>
                <w:lang w:eastAsia="en-GB"/>
              </w:rPr>
            </w:pPr>
            <w:r w:rsidRPr="00B91524">
              <w:rPr>
                <w:rFonts w:cs="Arial"/>
                <w:sz w:val="16"/>
                <w:szCs w:val="16"/>
                <w:lang w:val="en-US" w:eastAsia="en-GB"/>
              </w:rPr>
              <w:t>Post-construction</w:t>
            </w:r>
          </w:p>
        </w:tc>
        <w:tc>
          <w:tcPr>
            <w:tcW w:w="1984" w:type="dxa"/>
            <w:vMerge w:val="restart"/>
            <w:tcBorders>
              <w:top w:val="nil"/>
              <w:left w:val="single" w:sz="8" w:space="0" w:color="000000"/>
              <w:bottom w:val="single" w:sz="8" w:space="0" w:color="000000"/>
              <w:right w:val="single" w:sz="8" w:space="0" w:color="000000"/>
            </w:tcBorders>
            <w:shd w:val="clear" w:color="000000" w:fill="C4D7F0"/>
            <w:vAlign w:val="center"/>
            <w:hideMark/>
          </w:tcPr>
          <w:p w14:paraId="2D5655BC" w14:textId="77777777" w:rsidR="000E2DD1" w:rsidRPr="00B91524" w:rsidRDefault="000E2DD1" w:rsidP="000E2DD1">
            <w:pPr>
              <w:spacing w:after="0"/>
              <w:jc w:val="both"/>
              <w:rPr>
                <w:rFonts w:cs="Arial"/>
                <w:sz w:val="16"/>
                <w:szCs w:val="16"/>
                <w:lang w:eastAsia="en-GB"/>
              </w:rPr>
            </w:pPr>
            <w:r w:rsidRPr="00B91524">
              <w:rPr>
                <w:rFonts w:cs="Arial"/>
                <w:sz w:val="16"/>
                <w:szCs w:val="16"/>
                <w:lang w:val="en-US" w:eastAsia="en-GB"/>
              </w:rPr>
              <w:t xml:space="preserve">To validate the predictions made in the Environmental Statement and HRA with respect to potential effects on benthic Annex I habitats and linked receptor groups as relevant (Natural England and JNCC </w:t>
            </w:r>
            <w:r w:rsidRPr="00B91524">
              <w:rPr>
                <w:rFonts w:cs="Arial"/>
                <w:sz w:val="16"/>
                <w:szCs w:val="16"/>
                <w:lang w:val="en-US" w:eastAsia="en-GB"/>
              </w:rPr>
              <w:lastRenderedPageBreak/>
              <w:t>requirement) and to identify the presence of any non-native species and wider community/type structure</w:t>
            </w:r>
          </w:p>
        </w:tc>
        <w:tc>
          <w:tcPr>
            <w:tcW w:w="2126" w:type="dxa"/>
            <w:vMerge w:val="restart"/>
            <w:tcBorders>
              <w:top w:val="nil"/>
              <w:left w:val="single" w:sz="8" w:space="0" w:color="000000"/>
              <w:bottom w:val="single" w:sz="8" w:space="0" w:color="000000"/>
              <w:right w:val="single" w:sz="8" w:space="0" w:color="000000"/>
            </w:tcBorders>
            <w:shd w:val="clear" w:color="000000" w:fill="C4D7F0"/>
            <w:vAlign w:val="center"/>
            <w:hideMark/>
          </w:tcPr>
          <w:p w14:paraId="6423E197" w14:textId="77777777" w:rsidR="000E2DD1" w:rsidRPr="00B91524" w:rsidRDefault="000E2DD1" w:rsidP="000E2DD1">
            <w:pPr>
              <w:spacing w:after="0"/>
              <w:jc w:val="both"/>
              <w:rPr>
                <w:rFonts w:cs="Arial"/>
                <w:sz w:val="16"/>
                <w:szCs w:val="16"/>
                <w:lang w:eastAsia="en-GB"/>
              </w:rPr>
            </w:pPr>
            <w:r w:rsidRPr="00B91524">
              <w:rPr>
                <w:rFonts w:cs="Arial"/>
                <w:sz w:val="16"/>
                <w:szCs w:val="16"/>
                <w:lang w:val="en-US" w:eastAsia="en-GB"/>
              </w:rPr>
              <w:lastRenderedPageBreak/>
              <w:t xml:space="preserve">Dependent on the outcome of the surveys undertaken in condition 13(2)(a) above, appropriate surveys to determine the effects of construction activity on any benthic Annex I habitat in whole or in part inside the area(s) within the Order limits to validate </w:t>
            </w:r>
            <w:r w:rsidRPr="00B91524">
              <w:rPr>
                <w:rFonts w:cs="Arial"/>
                <w:sz w:val="16"/>
                <w:szCs w:val="16"/>
                <w:lang w:val="en-US" w:eastAsia="en-GB"/>
              </w:rPr>
              <w:lastRenderedPageBreak/>
              <w:t>predictions made in the Environmental Statement.</w:t>
            </w:r>
          </w:p>
        </w:tc>
        <w:tc>
          <w:tcPr>
            <w:tcW w:w="2672" w:type="dxa"/>
            <w:tcBorders>
              <w:top w:val="nil"/>
              <w:left w:val="nil"/>
              <w:bottom w:val="nil"/>
              <w:right w:val="single" w:sz="8" w:space="0" w:color="000000"/>
            </w:tcBorders>
            <w:shd w:val="clear" w:color="000000" w:fill="C4D7F0"/>
            <w:hideMark/>
          </w:tcPr>
          <w:p w14:paraId="4F9244F5" w14:textId="77777777" w:rsidR="000E2DD1" w:rsidRPr="00B91524" w:rsidRDefault="000E2DD1" w:rsidP="000E2DD1">
            <w:pPr>
              <w:spacing w:after="0"/>
              <w:rPr>
                <w:rFonts w:ascii="Calibri" w:hAnsi="Calibri" w:cs="Calibri"/>
                <w:sz w:val="16"/>
                <w:szCs w:val="16"/>
                <w:lang w:eastAsia="en-GB"/>
              </w:rPr>
            </w:pPr>
            <w:r w:rsidRPr="00B91524">
              <w:rPr>
                <w:rFonts w:ascii="Calibri" w:hAnsi="Calibri" w:cs="Calibri"/>
                <w:sz w:val="16"/>
                <w:szCs w:val="16"/>
                <w:lang w:eastAsia="en-GB"/>
              </w:rPr>
              <w:lastRenderedPageBreak/>
              <w:t> </w:t>
            </w:r>
          </w:p>
        </w:tc>
        <w:tc>
          <w:tcPr>
            <w:tcW w:w="3424" w:type="dxa"/>
            <w:tcBorders>
              <w:top w:val="nil"/>
              <w:left w:val="nil"/>
              <w:bottom w:val="nil"/>
              <w:right w:val="single" w:sz="8" w:space="0" w:color="000000"/>
            </w:tcBorders>
            <w:shd w:val="clear" w:color="000000" w:fill="C4D7F0"/>
            <w:vAlign w:val="center"/>
            <w:hideMark/>
          </w:tcPr>
          <w:p w14:paraId="396C4272" w14:textId="77777777" w:rsidR="000E2DD1" w:rsidRPr="00B91524" w:rsidRDefault="000E2DD1" w:rsidP="000E2DD1">
            <w:pPr>
              <w:spacing w:after="0"/>
              <w:jc w:val="both"/>
              <w:rPr>
                <w:rFonts w:cs="Arial"/>
                <w:sz w:val="16"/>
                <w:szCs w:val="16"/>
                <w:lang w:eastAsia="en-GB"/>
              </w:rPr>
            </w:pPr>
            <w:r w:rsidRPr="00B91524">
              <w:rPr>
                <w:rFonts w:cs="Arial"/>
                <w:sz w:val="16"/>
                <w:szCs w:val="16"/>
                <w:lang w:val="en-US" w:eastAsia="en-GB"/>
              </w:rPr>
              <w:t>The objectives and pre construction benthic monitoring has been designed to consider the potential for post construction surveys. Data from both surveys would, if required, be used to validate the key predictions of the ES (Section 7)</w:t>
            </w:r>
          </w:p>
        </w:tc>
      </w:tr>
      <w:tr w:rsidR="000E2DD1" w:rsidRPr="00B91524" w14:paraId="3B4B7A4D" w14:textId="77777777" w:rsidTr="000E2DD1">
        <w:trPr>
          <w:trHeight w:val="465"/>
        </w:trPr>
        <w:tc>
          <w:tcPr>
            <w:tcW w:w="1160" w:type="dxa"/>
            <w:vMerge/>
            <w:tcBorders>
              <w:top w:val="nil"/>
              <w:left w:val="single" w:sz="8" w:space="0" w:color="000000"/>
              <w:bottom w:val="single" w:sz="8" w:space="0" w:color="000000"/>
              <w:right w:val="single" w:sz="8" w:space="0" w:color="000000"/>
            </w:tcBorders>
            <w:vAlign w:val="center"/>
            <w:hideMark/>
          </w:tcPr>
          <w:p w14:paraId="2704D5F8" w14:textId="77777777" w:rsidR="000E2DD1" w:rsidRPr="00B91524" w:rsidRDefault="000E2DD1" w:rsidP="000E2DD1">
            <w:pPr>
              <w:spacing w:after="0"/>
              <w:rPr>
                <w:rFonts w:cs="Arial"/>
                <w:sz w:val="16"/>
                <w:szCs w:val="16"/>
                <w:lang w:eastAsia="en-GB"/>
              </w:rPr>
            </w:pPr>
          </w:p>
        </w:tc>
        <w:tc>
          <w:tcPr>
            <w:tcW w:w="1240" w:type="dxa"/>
            <w:vMerge/>
            <w:tcBorders>
              <w:top w:val="nil"/>
              <w:left w:val="single" w:sz="8" w:space="0" w:color="000000"/>
              <w:bottom w:val="single" w:sz="8" w:space="0" w:color="000000"/>
              <w:right w:val="single" w:sz="8" w:space="0" w:color="000000"/>
            </w:tcBorders>
            <w:vAlign w:val="center"/>
            <w:hideMark/>
          </w:tcPr>
          <w:p w14:paraId="7F914D54" w14:textId="77777777" w:rsidR="000E2DD1" w:rsidRPr="00B91524" w:rsidRDefault="000E2DD1" w:rsidP="000E2DD1">
            <w:pPr>
              <w:spacing w:after="0"/>
              <w:rPr>
                <w:rFonts w:cs="Arial"/>
                <w:sz w:val="16"/>
                <w:szCs w:val="16"/>
                <w:lang w:eastAsia="en-GB"/>
              </w:rPr>
            </w:pPr>
          </w:p>
        </w:tc>
        <w:tc>
          <w:tcPr>
            <w:tcW w:w="1418" w:type="dxa"/>
            <w:vMerge/>
            <w:tcBorders>
              <w:top w:val="nil"/>
              <w:left w:val="single" w:sz="8" w:space="0" w:color="000000"/>
              <w:bottom w:val="single" w:sz="8" w:space="0" w:color="000000"/>
              <w:right w:val="single" w:sz="8" w:space="0" w:color="000000"/>
            </w:tcBorders>
            <w:vAlign w:val="center"/>
            <w:hideMark/>
          </w:tcPr>
          <w:p w14:paraId="04507F3D" w14:textId="77777777" w:rsidR="000E2DD1" w:rsidRPr="00B91524" w:rsidRDefault="000E2DD1" w:rsidP="000E2DD1">
            <w:pPr>
              <w:spacing w:after="0"/>
              <w:rPr>
                <w:rFonts w:cs="Arial"/>
                <w:sz w:val="16"/>
                <w:szCs w:val="16"/>
                <w:lang w:eastAsia="en-GB"/>
              </w:rPr>
            </w:pPr>
          </w:p>
        </w:tc>
        <w:tc>
          <w:tcPr>
            <w:tcW w:w="1984" w:type="dxa"/>
            <w:vMerge/>
            <w:tcBorders>
              <w:top w:val="nil"/>
              <w:left w:val="single" w:sz="8" w:space="0" w:color="000000"/>
              <w:bottom w:val="single" w:sz="8" w:space="0" w:color="000000"/>
              <w:right w:val="single" w:sz="8" w:space="0" w:color="000000"/>
            </w:tcBorders>
            <w:vAlign w:val="center"/>
            <w:hideMark/>
          </w:tcPr>
          <w:p w14:paraId="1F2DF40B" w14:textId="77777777" w:rsidR="000E2DD1" w:rsidRPr="00B91524" w:rsidRDefault="000E2DD1" w:rsidP="000E2DD1">
            <w:pPr>
              <w:spacing w:after="0"/>
              <w:rPr>
                <w:rFonts w:cs="Arial"/>
                <w:sz w:val="16"/>
                <w:szCs w:val="16"/>
                <w:lang w:eastAsia="en-GB"/>
              </w:rPr>
            </w:pPr>
          </w:p>
        </w:tc>
        <w:tc>
          <w:tcPr>
            <w:tcW w:w="2126" w:type="dxa"/>
            <w:vMerge/>
            <w:tcBorders>
              <w:top w:val="nil"/>
              <w:left w:val="single" w:sz="8" w:space="0" w:color="000000"/>
              <w:bottom w:val="single" w:sz="8" w:space="0" w:color="000000"/>
              <w:right w:val="single" w:sz="8" w:space="0" w:color="000000"/>
            </w:tcBorders>
            <w:vAlign w:val="center"/>
            <w:hideMark/>
          </w:tcPr>
          <w:p w14:paraId="40F81C45" w14:textId="77777777" w:rsidR="000E2DD1" w:rsidRPr="00B91524" w:rsidRDefault="000E2DD1" w:rsidP="000E2DD1">
            <w:pPr>
              <w:spacing w:after="0"/>
              <w:rPr>
                <w:rFonts w:cs="Arial"/>
                <w:sz w:val="16"/>
                <w:szCs w:val="16"/>
                <w:lang w:eastAsia="en-GB"/>
              </w:rPr>
            </w:pPr>
          </w:p>
        </w:tc>
        <w:tc>
          <w:tcPr>
            <w:tcW w:w="2672" w:type="dxa"/>
            <w:tcBorders>
              <w:top w:val="nil"/>
              <w:left w:val="nil"/>
              <w:bottom w:val="single" w:sz="8" w:space="0" w:color="000000"/>
              <w:right w:val="single" w:sz="8" w:space="0" w:color="000000"/>
            </w:tcBorders>
            <w:shd w:val="clear" w:color="000000" w:fill="C4D7F0"/>
            <w:hideMark/>
          </w:tcPr>
          <w:p w14:paraId="0961477B" w14:textId="77777777" w:rsidR="000E2DD1" w:rsidRPr="00B91524" w:rsidRDefault="000E2DD1" w:rsidP="000E2DD1">
            <w:pPr>
              <w:spacing w:after="0"/>
              <w:rPr>
                <w:rFonts w:ascii="Calibri" w:hAnsi="Calibri" w:cs="Calibri"/>
                <w:sz w:val="16"/>
                <w:szCs w:val="16"/>
                <w:lang w:eastAsia="en-GB"/>
              </w:rPr>
            </w:pPr>
            <w:r w:rsidRPr="00B91524">
              <w:rPr>
                <w:rFonts w:ascii="Calibri" w:hAnsi="Calibri" w:cs="Calibri"/>
                <w:sz w:val="16"/>
                <w:szCs w:val="16"/>
                <w:lang w:eastAsia="en-GB"/>
              </w:rPr>
              <w:t> </w:t>
            </w:r>
          </w:p>
        </w:tc>
        <w:tc>
          <w:tcPr>
            <w:tcW w:w="3424" w:type="dxa"/>
            <w:tcBorders>
              <w:top w:val="nil"/>
              <w:left w:val="nil"/>
              <w:bottom w:val="single" w:sz="8" w:space="0" w:color="000000"/>
              <w:right w:val="single" w:sz="8" w:space="0" w:color="000000"/>
            </w:tcBorders>
            <w:shd w:val="clear" w:color="000000" w:fill="C4D7F0"/>
            <w:vAlign w:val="center"/>
            <w:hideMark/>
          </w:tcPr>
          <w:p w14:paraId="73FFE6F0" w14:textId="77777777" w:rsidR="000E2DD1" w:rsidRPr="00B91524" w:rsidRDefault="000E2DD1" w:rsidP="000E2DD1">
            <w:pPr>
              <w:spacing w:after="0"/>
              <w:jc w:val="both"/>
              <w:rPr>
                <w:rFonts w:cs="Arial"/>
                <w:sz w:val="16"/>
                <w:szCs w:val="16"/>
                <w:lang w:eastAsia="en-GB"/>
              </w:rPr>
            </w:pPr>
            <w:r w:rsidRPr="00B91524">
              <w:rPr>
                <w:rFonts w:cs="Arial"/>
                <w:sz w:val="16"/>
                <w:szCs w:val="16"/>
                <w:lang w:val="en-US" w:eastAsia="en-GB"/>
              </w:rPr>
              <w:t>The requirement for post construction monitoring would be confirmed during the reporting of the pre</w:t>
            </w:r>
            <w:r w:rsidRPr="00B91524">
              <w:rPr>
                <w:rFonts w:cs="Arial"/>
                <w:sz w:val="16"/>
                <w:szCs w:val="16"/>
                <w:u w:val="single"/>
                <w:lang w:val="en-US" w:eastAsia="en-GB"/>
              </w:rPr>
              <w:t>-</w:t>
            </w:r>
            <w:r w:rsidRPr="00B91524">
              <w:rPr>
                <w:rFonts w:cs="Arial"/>
                <w:strike/>
                <w:sz w:val="16"/>
                <w:szCs w:val="16"/>
                <w:lang w:val="en-US" w:eastAsia="en-GB"/>
              </w:rPr>
              <w:t xml:space="preserve"> </w:t>
            </w:r>
            <w:r w:rsidRPr="00B91524">
              <w:rPr>
                <w:rFonts w:cs="Arial"/>
                <w:sz w:val="16"/>
                <w:szCs w:val="16"/>
                <w:lang w:val="en-US" w:eastAsia="en-GB"/>
              </w:rPr>
              <w:t xml:space="preserve">construction benthic monitoring </w:t>
            </w:r>
          </w:p>
        </w:tc>
      </w:tr>
      <w:tr w:rsidR="000E2DD1" w:rsidRPr="00B91524" w14:paraId="223A9AFA" w14:textId="77777777" w:rsidTr="000E2DD1">
        <w:trPr>
          <w:trHeight w:val="1725"/>
        </w:trPr>
        <w:tc>
          <w:tcPr>
            <w:tcW w:w="1160" w:type="dxa"/>
            <w:vMerge/>
            <w:tcBorders>
              <w:top w:val="nil"/>
              <w:left w:val="single" w:sz="8" w:space="0" w:color="000000"/>
              <w:bottom w:val="single" w:sz="8" w:space="0" w:color="000000"/>
              <w:right w:val="single" w:sz="8" w:space="0" w:color="000000"/>
            </w:tcBorders>
            <w:vAlign w:val="center"/>
            <w:hideMark/>
          </w:tcPr>
          <w:p w14:paraId="599FB237" w14:textId="77777777" w:rsidR="000E2DD1" w:rsidRPr="00B91524" w:rsidRDefault="000E2DD1" w:rsidP="000E2DD1">
            <w:pPr>
              <w:spacing w:after="0"/>
              <w:rPr>
                <w:rFonts w:cs="Arial"/>
                <w:sz w:val="16"/>
                <w:szCs w:val="16"/>
                <w:lang w:eastAsia="en-GB"/>
              </w:rPr>
            </w:pPr>
          </w:p>
        </w:tc>
        <w:tc>
          <w:tcPr>
            <w:tcW w:w="1240" w:type="dxa"/>
            <w:vMerge/>
            <w:tcBorders>
              <w:top w:val="nil"/>
              <w:left w:val="single" w:sz="8" w:space="0" w:color="000000"/>
              <w:bottom w:val="single" w:sz="8" w:space="0" w:color="000000"/>
              <w:right w:val="single" w:sz="8" w:space="0" w:color="000000"/>
            </w:tcBorders>
            <w:vAlign w:val="center"/>
            <w:hideMark/>
          </w:tcPr>
          <w:p w14:paraId="5E84C471" w14:textId="77777777" w:rsidR="000E2DD1" w:rsidRPr="00B91524" w:rsidRDefault="000E2DD1" w:rsidP="000E2DD1">
            <w:pPr>
              <w:spacing w:after="0"/>
              <w:rPr>
                <w:rFonts w:cs="Arial"/>
                <w:sz w:val="16"/>
                <w:szCs w:val="16"/>
                <w:lang w:eastAsia="en-GB"/>
              </w:rPr>
            </w:pPr>
          </w:p>
        </w:tc>
        <w:tc>
          <w:tcPr>
            <w:tcW w:w="1418" w:type="dxa"/>
            <w:vMerge w:val="restart"/>
            <w:tcBorders>
              <w:top w:val="nil"/>
              <w:left w:val="single" w:sz="8" w:space="0" w:color="000000"/>
              <w:bottom w:val="single" w:sz="8" w:space="0" w:color="000000"/>
              <w:right w:val="single" w:sz="8" w:space="0" w:color="000000"/>
            </w:tcBorders>
            <w:shd w:val="clear" w:color="000000" w:fill="C4D7F0"/>
            <w:vAlign w:val="center"/>
            <w:hideMark/>
          </w:tcPr>
          <w:p w14:paraId="26710270" w14:textId="3ABE62EF" w:rsidR="000E2DD1" w:rsidRPr="00B91524" w:rsidRDefault="000E2DD1" w:rsidP="000E2DD1">
            <w:pPr>
              <w:spacing w:after="0"/>
              <w:jc w:val="both"/>
              <w:rPr>
                <w:rFonts w:cs="Arial"/>
                <w:sz w:val="16"/>
                <w:szCs w:val="16"/>
                <w:lang w:eastAsia="en-GB"/>
              </w:rPr>
            </w:pPr>
            <w:r w:rsidRPr="00B91524">
              <w:rPr>
                <w:rFonts w:cs="Arial"/>
                <w:sz w:val="16"/>
                <w:szCs w:val="16"/>
                <w:lang w:val="en-US" w:eastAsia="en-GB"/>
              </w:rPr>
              <w:t>Post-construction</w:t>
            </w:r>
          </w:p>
        </w:tc>
        <w:tc>
          <w:tcPr>
            <w:tcW w:w="1984" w:type="dxa"/>
            <w:vMerge w:val="restart"/>
            <w:tcBorders>
              <w:top w:val="nil"/>
              <w:left w:val="single" w:sz="8" w:space="0" w:color="000000"/>
              <w:bottom w:val="single" w:sz="8" w:space="0" w:color="000000"/>
              <w:right w:val="single" w:sz="8" w:space="0" w:color="000000"/>
            </w:tcBorders>
            <w:shd w:val="clear" w:color="000000" w:fill="C4D7F0"/>
            <w:vAlign w:val="center"/>
            <w:hideMark/>
          </w:tcPr>
          <w:p w14:paraId="58773EEE" w14:textId="77777777" w:rsidR="000E2DD1" w:rsidRPr="00B91524" w:rsidRDefault="000E2DD1" w:rsidP="000E2DD1">
            <w:pPr>
              <w:spacing w:after="0"/>
              <w:jc w:val="both"/>
              <w:rPr>
                <w:rFonts w:cs="Arial"/>
                <w:sz w:val="16"/>
                <w:szCs w:val="16"/>
                <w:lang w:eastAsia="en-GB"/>
              </w:rPr>
            </w:pPr>
            <w:r w:rsidRPr="00B91524">
              <w:rPr>
                <w:rFonts w:cs="Arial"/>
                <w:sz w:val="16"/>
                <w:szCs w:val="16"/>
                <w:lang w:val="en-US" w:eastAsia="en-GB"/>
              </w:rPr>
              <w:t>Monitoring of any disposal mounds, generated through the deposition of drill arisings, to determine changes in size and form of mounds through the lifetime of the project, in order to inform any decommissioning requirements (Natural England and JNCC requirement)</w:t>
            </w:r>
          </w:p>
        </w:tc>
        <w:tc>
          <w:tcPr>
            <w:tcW w:w="2126" w:type="dxa"/>
            <w:tcBorders>
              <w:top w:val="nil"/>
              <w:left w:val="nil"/>
              <w:bottom w:val="nil"/>
              <w:right w:val="single" w:sz="8" w:space="0" w:color="000000"/>
            </w:tcBorders>
            <w:shd w:val="clear" w:color="000000" w:fill="C4D7F0"/>
            <w:vAlign w:val="center"/>
            <w:hideMark/>
          </w:tcPr>
          <w:p w14:paraId="71B60BCC" w14:textId="77777777" w:rsidR="000E2DD1" w:rsidRPr="00B91524" w:rsidRDefault="000E2DD1" w:rsidP="000E2DD1">
            <w:pPr>
              <w:spacing w:after="0"/>
              <w:jc w:val="both"/>
              <w:rPr>
                <w:rFonts w:cs="Arial"/>
                <w:sz w:val="16"/>
                <w:szCs w:val="16"/>
                <w:lang w:eastAsia="en-GB"/>
              </w:rPr>
            </w:pPr>
            <w:r w:rsidRPr="00B91524">
              <w:rPr>
                <w:rFonts w:cs="Arial"/>
                <w:sz w:val="16"/>
                <w:szCs w:val="16"/>
                <w:lang w:val="en-US" w:eastAsia="en-GB"/>
              </w:rPr>
              <w:t xml:space="preserve">Appropriate surveys to determine change in size and form of the disposal mounds over the lifetime of the </w:t>
            </w:r>
            <w:proofErr w:type="spellStart"/>
            <w:r w:rsidRPr="00B91524">
              <w:rPr>
                <w:rFonts w:cs="Arial"/>
                <w:sz w:val="16"/>
                <w:szCs w:val="16"/>
                <w:lang w:val="en-US" w:eastAsia="en-GB"/>
              </w:rPr>
              <w:t>authorised</w:t>
            </w:r>
            <w:proofErr w:type="spellEnd"/>
            <w:r w:rsidRPr="00B91524">
              <w:rPr>
                <w:rFonts w:cs="Arial"/>
                <w:sz w:val="16"/>
                <w:szCs w:val="16"/>
                <w:lang w:val="en-US" w:eastAsia="en-GB"/>
              </w:rPr>
              <w:t xml:space="preserve"> scheme. </w:t>
            </w:r>
          </w:p>
        </w:tc>
        <w:tc>
          <w:tcPr>
            <w:tcW w:w="2672" w:type="dxa"/>
            <w:tcBorders>
              <w:top w:val="nil"/>
              <w:left w:val="nil"/>
              <w:bottom w:val="nil"/>
              <w:right w:val="single" w:sz="8" w:space="0" w:color="000000"/>
            </w:tcBorders>
            <w:shd w:val="clear" w:color="000000" w:fill="C4D7F0"/>
            <w:vAlign w:val="center"/>
            <w:hideMark/>
          </w:tcPr>
          <w:p w14:paraId="6FEF7B0E" w14:textId="77777777" w:rsidR="000E2DD1" w:rsidRPr="00B91524" w:rsidRDefault="000E2DD1" w:rsidP="000E2DD1">
            <w:pPr>
              <w:spacing w:after="0"/>
              <w:jc w:val="both"/>
              <w:rPr>
                <w:rFonts w:cs="Arial"/>
                <w:sz w:val="16"/>
                <w:szCs w:val="16"/>
                <w:lang w:eastAsia="en-GB"/>
              </w:rPr>
            </w:pPr>
            <w:r w:rsidRPr="00B91524">
              <w:rPr>
                <w:rFonts w:cs="Arial"/>
                <w:sz w:val="16"/>
                <w:szCs w:val="16"/>
                <w:lang w:val="en-US" w:eastAsia="en-GB"/>
              </w:rPr>
              <w:t xml:space="preserve">Survey will only be required should drilling and subsequent in situ disposal be employed. The survey would constitute an adaptive management measure and would inform requirements for the mounds at the point of decommissioning, should this be required.  Scope and timings to be agreed post consent but survey should consider a sample of disposal mounds where any mud or clay arisings are anticipated.  This may require monitoring at years 1, 2, 3, 5, 10, 15 and 20 of the operational life of the project unless agreed otherwise with the MMO in consultation with the relevant SNCB.  However, survey results will be reviewed with the MMO and relevant SNCBs and subsequently may not be required throughout the life of the project, depending on the persistence of any mounds produced. </w:t>
            </w:r>
          </w:p>
        </w:tc>
        <w:tc>
          <w:tcPr>
            <w:tcW w:w="3424" w:type="dxa"/>
            <w:vMerge w:val="restart"/>
            <w:tcBorders>
              <w:top w:val="nil"/>
              <w:left w:val="single" w:sz="8" w:space="0" w:color="000000"/>
              <w:bottom w:val="single" w:sz="8" w:space="0" w:color="000000"/>
              <w:right w:val="single" w:sz="8" w:space="0" w:color="000000"/>
            </w:tcBorders>
            <w:shd w:val="clear" w:color="000000" w:fill="C4D7F0"/>
            <w:vAlign w:val="center"/>
            <w:hideMark/>
          </w:tcPr>
          <w:p w14:paraId="5150C24B" w14:textId="77777777" w:rsidR="000E2DD1" w:rsidRPr="00B91524" w:rsidRDefault="000E2DD1" w:rsidP="000E2DD1">
            <w:pPr>
              <w:spacing w:after="0"/>
              <w:jc w:val="both"/>
              <w:rPr>
                <w:rFonts w:cs="Arial"/>
                <w:sz w:val="16"/>
                <w:szCs w:val="16"/>
                <w:lang w:eastAsia="en-GB"/>
              </w:rPr>
            </w:pPr>
            <w:r w:rsidRPr="00B91524">
              <w:rPr>
                <w:rFonts w:cs="Arial"/>
                <w:sz w:val="16"/>
                <w:szCs w:val="16"/>
                <w:lang w:val="en-US" w:eastAsia="en-GB"/>
              </w:rPr>
              <w:t>The approach for monitoring of drill mounds has been discharged through the approval of the SOWFL Geophysical (Bathymetrical) Monitoring Plan (SOWFL, 2019a)</w:t>
            </w:r>
          </w:p>
        </w:tc>
      </w:tr>
      <w:tr w:rsidR="000E2DD1" w:rsidRPr="00B91524" w14:paraId="09D71094" w14:textId="77777777" w:rsidTr="000E2DD1">
        <w:trPr>
          <w:trHeight w:val="1335"/>
        </w:trPr>
        <w:tc>
          <w:tcPr>
            <w:tcW w:w="1160" w:type="dxa"/>
            <w:vMerge/>
            <w:tcBorders>
              <w:top w:val="nil"/>
              <w:left w:val="single" w:sz="8" w:space="0" w:color="000000"/>
              <w:bottom w:val="single" w:sz="8" w:space="0" w:color="000000"/>
              <w:right w:val="single" w:sz="8" w:space="0" w:color="000000"/>
            </w:tcBorders>
            <w:vAlign w:val="center"/>
            <w:hideMark/>
          </w:tcPr>
          <w:p w14:paraId="3D583998" w14:textId="77777777" w:rsidR="000E2DD1" w:rsidRPr="00B91524" w:rsidRDefault="000E2DD1" w:rsidP="000E2DD1">
            <w:pPr>
              <w:spacing w:after="0"/>
              <w:rPr>
                <w:rFonts w:cs="Arial"/>
                <w:sz w:val="16"/>
                <w:szCs w:val="16"/>
                <w:lang w:eastAsia="en-GB"/>
              </w:rPr>
            </w:pPr>
          </w:p>
        </w:tc>
        <w:tc>
          <w:tcPr>
            <w:tcW w:w="1240" w:type="dxa"/>
            <w:vMerge/>
            <w:tcBorders>
              <w:top w:val="nil"/>
              <w:left w:val="single" w:sz="8" w:space="0" w:color="000000"/>
              <w:bottom w:val="single" w:sz="8" w:space="0" w:color="000000"/>
              <w:right w:val="single" w:sz="8" w:space="0" w:color="000000"/>
            </w:tcBorders>
            <w:vAlign w:val="center"/>
            <w:hideMark/>
          </w:tcPr>
          <w:p w14:paraId="7CA64EB6" w14:textId="77777777" w:rsidR="000E2DD1" w:rsidRPr="00B91524" w:rsidRDefault="000E2DD1" w:rsidP="000E2DD1">
            <w:pPr>
              <w:spacing w:after="0"/>
              <w:rPr>
                <w:rFonts w:cs="Arial"/>
                <w:sz w:val="16"/>
                <w:szCs w:val="16"/>
                <w:lang w:eastAsia="en-GB"/>
              </w:rPr>
            </w:pPr>
          </w:p>
        </w:tc>
        <w:tc>
          <w:tcPr>
            <w:tcW w:w="1418" w:type="dxa"/>
            <w:vMerge/>
            <w:tcBorders>
              <w:top w:val="nil"/>
              <w:left w:val="single" w:sz="8" w:space="0" w:color="000000"/>
              <w:bottom w:val="single" w:sz="8" w:space="0" w:color="000000"/>
              <w:right w:val="single" w:sz="8" w:space="0" w:color="000000"/>
            </w:tcBorders>
            <w:vAlign w:val="center"/>
            <w:hideMark/>
          </w:tcPr>
          <w:p w14:paraId="13269BCC" w14:textId="77777777" w:rsidR="000E2DD1" w:rsidRPr="00B91524" w:rsidRDefault="000E2DD1" w:rsidP="000E2DD1">
            <w:pPr>
              <w:spacing w:after="0"/>
              <w:rPr>
                <w:rFonts w:cs="Arial"/>
                <w:sz w:val="16"/>
                <w:szCs w:val="16"/>
                <w:lang w:eastAsia="en-GB"/>
              </w:rPr>
            </w:pPr>
          </w:p>
        </w:tc>
        <w:tc>
          <w:tcPr>
            <w:tcW w:w="1984" w:type="dxa"/>
            <w:vMerge/>
            <w:tcBorders>
              <w:top w:val="nil"/>
              <w:left w:val="single" w:sz="8" w:space="0" w:color="000000"/>
              <w:bottom w:val="single" w:sz="8" w:space="0" w:color="000000"/>
              <w:right w:val="single" w:sz="8" w:space="0" w:color="000000"/>
            </w:tcBorders>
            <w:vAlign w:val="center"/>
            <w:hideMark/>
          </w:tcPr>
          <w:p w14:paraId="4B33A85E" w14:textId="77777777" w:rsidR="000E2DD1" w:rsidRPr="00B91524" w:rsidRDefault="000E2DD1" w:rsidP="000E2DD1">
            <w:pPr>
              <w:spacing w:after="0"/>
              <w:rPr>
                <w:rFonts w:cs="Arial"/>
                <w:sz w:val="16"/>
                <w:szCs w:val="16"/>
                <w:lang w:eastAsia="en-GB"/>
              </w:rPr>
            </w:pPr>
          </w:p>
        </w:tc>
        <w:tc>
          <w:tcPr>
            <w:tcW w:w="2126" w:type="dxa"/>
            <w:tcBorders>
              <w:top w:val="nil"/>
              <w:left w:val="nil"/>
              <w:bottom w:val="single" w:sz="8" w:space="0" w:color="000000"/>
              <w:right w:val="single" w:sz="8" w:space="0" w:color="000000"/>
            </w:tcBorders>
            <w:shd w:val="clear" w:color="000000" w:fill="C4D7F0"/>
            <w:vAlign w:val="center"/>
            <w:hideMark/>
          </w:tcPr>
          <w:p w14:paraId="17CEEE06" w14:textId="77777777" w:rsidR="000E2DD1" w:rsidRPr="00B91524" w:rsidRDefault="000E2DD1" w:rsidP="000E2DD1">
            <w:pPr>
              <w:spacing w:after="0"/>
              <w:jc w:val="both"/>
              <w:rPr>
                <w:rFonts w:cs="Arial"/>
                <w:sz w:val="16"/>
                <w:szCs w:val="16"/>
                <w:lang w:eastAsia="en-GB"/>
              </w:rPr>
            </w:pPr>
            <w:r w:rsidRPr="00B91524">
              <w:rPr>
                <w:rFonts w:cs="Arial"/>
                <w:sz w:val="16"/>
                <w:szCs w:val="16"/>
                <w:lang w:val="en-US" w:eastAsia="en-GB"/>
              </w:rPr>
              <w:t>Note: this monitoring is repeated from Section 4.2 (marine physical processes).</w:t>
            </w:r>
          </w:p>
        </w:tc>
        <w:tc>
          <w:tcPr>
            <w:tcW w:w="2672" w:type="dxa"/>
            <w:tcBorders>
              <w:top w:val="nil"/>
              <w:left w:val="nil"/>
              <w:bottom w:val="single" w:sz="8" w:space="0" w:color="000000"/>
              <w:right w:val="single" w:sz="8" w:space="0" w:color="000000"/>
            </w:tcBorders>
            <w:shd w:val="clear" w:color="000000" w:fill="C4D7F0"/>
            <w:vAlign w:val="center"/>
            <w:hideMark/>
          </w:tcPr>
          <w:p w14:paraId="788E27C7" w14:textId="77777777" w:rsidR="000E2DD1" w:rsidRPr="00B91524" w:rsidRDefault="000E2DD1" w:rsidP="000E2DD1">
            <w:pPr>
              <w:spacing w:after="0"/>
              <w:jc w:val="both"/>
              <w:rPr>
                <w:rFonts w:cs="Arial"/>
                <w:sz w:val="16"/>
                <w:szCs w:val="16"/>
                <w:lang w:eastAsia="en-GB"/>
              </w:rPr>
            </w:pPr>
            <w:r w:rsidRPr="00B91524">
              <w:rPr>
                <w:rFonts w:cs="Arial"/>
                <w:sz w:val="16"/>
                <w:szCs w:val="16"/>
                <w:lang w:val="en-US" w:eastAsia="en-GB"/>
              </w:rPr>
              <w:t>Depending on the amount of drilling undertaken, it is expected that the number of locations monitored will be an agreed sample based/informed on/by the final project design and the environmental parameters, selecting locations across the range of different water depths and seabed habitat types experienced.</w:t>
            </w:r>
          </w:p>
        </w:tc>
        <w:tc>
          <w:tcPr>
            <w:tcW w:w="3424" w:type="dxa"/>
            <w:vMerge/>
            <w:tcBorders>
              <w:top w:val="nil"/>
              <w:left w:val="single" w:sz="8" w:space="0" w:color="000000"/>
              <w:bottom w:val="single" w:sz="8" w:space="0" w:color="000000"/>
              <w:right w:val="single" w:sz="8" w:space="0" w:color="000000"/>
            </w:tcBorders>
            <w:vAlign w:val="center"/>
            <w:hideMark/>
          </w:tcPr>
          <w:p w14:paraId="00990810" w14:textId="77777777" w:rsidR="000E2DD1" w:rsidRPr="00B91524" w:rsidRDefault="000E2DD1" w:rsidP="000E2DD1">
            <w:pPr>
              <w:spacing w:after="0"/>
              <w:rPr>
                <w:rFonts w:cs="Arial"/>
                <w:sz w:val="16"/>
                <w:szCs w:val="16"/>
                <w:lang w:eastAsia="en-GB"/>
              </w:rPr>
            </w:pPr>
          </w:p>
        </w:tc>
      </w:tr>
    </w:tbl>
    <w:p w14:paraId="38171FA1" w14:textId="77777777" w:rsidR="004A5E59" w:rsidRPr="00B91524" w:rsidRDefault="004A5E59" w:rsidP="004A5E59">
      <w:pPr>
        <w:pStyle w:val="Appendix"/>
        <w:keepNext/>
        <w:widowControl w:val="0"/>
        <w:numPr>
          <w:ilvl w:val="0"/>
          <w:numId w:val="0"/>
        </w:numPr>
        <w:tabs>
          <w:tab w:val="left" w:pos="851"/>
        </w:tabs>
        <w:spacing w:before="0" w:after="0"/>
        <w:ind w:right="301"/>
      </w:pPr>
    </w:p>
    <w:p w14:paraId="2B868829" w14:textId="63225B58" w:rsidR="004A5E59" w:rsidRPr="00B91524" w:rsidRDefault="004A5E59" w:rsidP="007908D8">
      <w:pPr>
        <w:pStyle w:val="appendixbodytextnumbering"/>
        <w:sectPr w:rsidR="004A5E59" w:rsidRPr="00B91524">
          <w:pgSz w:w="16838" w:h="11906" w:orient="landscape"/>
          <w:pgMar w:top="1440" w:right="1440" w:bottom="1440" w:left="1440" w:header="709" w:footer="709" w:gutter="0"/>
          <w:cols w:space="720"/>
        </w:sectPr>
      </w:pPr>
    </w:p>
    <w:p w14:paraId="2DF39AD4" w14:textId="33F72656" w:rsidR="004A5E59" w:rsidRPr="00B91524" w:rsidRDefault="004A5E59" w:rsidP="004A5E59">
      <w:pPr>
        <w:pStyle w:val="Appendix"/>
        <w:keepNext/>
        <w:widowControl w:val="0"/>
        <w:numPr>
          <w:ilvl w:val="0"/>
          <w:numId w:val="0"/>
        </w:numPr>
        <w:tabs>
          <w:tab w:val="left" w:pos="851"/>
        </w:tabs>
        <w:spacing w:before="0" w:after="0"/>
        <w:ind w:right="301"/>
      </w:pPr>
    </w:p>
    <w:p w14:paraId="023DABCC" w14:textId="5F9BE005" w:rsidR="00CA16C2" w:rsidRPr="00B91524" w:rsidRDefault="00CA16C2" w:rsidP="006523F4">
      <w:pPr>
        <w:pStyle w:val="Appendix"/>
        <w:keepNext/>
        <w:widowControl w:val="0"/>
        <w:tabs>
          <w:tab w:val="left" w:pos="851"/>
        </w:tabs>
        <w:spacing w:before="0" w:after="0"/>
        <w:ind w:left="0" w:right="301" w:firstLine="0"/>
      </w:pPr>
      <w:bookmarkStart w:id="133" w:name="_Toc46090238"/>
      <w:bookmarkStart w:id="134" w:name="_Toc74670348"/>
      <w:r w:rsidRPr="00B91524">
        <w:rPr>
          <w:noProof/>
        </w:rPr>
        <w:drawing>
          <wp:anchor distT="0" distB="0" distL="114300" distR="114300" simplePos="0" relativeHeight="251679231" behindDoc="0" locked="0" layoutInCell="1" allowOverlap="1" wp14:anchorId="43CD883B" wp14:editId="645F70CD">
            <wp:simplePos x="0" y="0"/>
            <wp:positionH relativeFrom="margin">
              <wp:posOffset>5731510</wp:posOffset>
            </wp:positionH>
            <wp:positionV relativeFrom="paragraph">
              <wp:posOffset>367030</wp:posOffset>
            </wp:positionV>
            <wp:extent cx="3390900" cy="1112520"/>
            <wp:effectExtent l="0" t="0" r="0" b="0"/>
            <wp:wrapThrough wrapText="bothSides">
              <wp:wrapPolygon edited="0">
                <wp:start x="0" y="0"/>
                <wp:lineTo x="0" y="21082"/>
                <wp:lineTo x="21479" y="21082"/>
                <wp:lineTo x="21479" y="0"/>
                <wp:lineTo x="0" y="0"/>
              </wp:wrapPolygon>
            </wp:wrapThrough>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3390900" cy="1112520"/>
                    </a:xfrm>
                    <a:prstGeom prst="rect">
                      <a:avLst/>
                    </a:prstGeom>
                    <a:noFill/>
                  </pic:spPr>
                </pic:pic>
              </a:graphicData>
            </a:graphic>
            <wp14:sizeRelH relativeFrom="margin">
              <wp14:pctWidth>0</wp14:pctWidth>
            </wp14:sizeRelH>
            <wp14:sizeRelV relativeFrom="margin">
              <wp14:pctHeight>0</wp14:pctHeight>
            </wp14:sizeRelV>
          </wp:anchor>
        </w:drawing>
      </w:r>
      <w:r w:rsidRPr="00B91524">
        <w:rPr>
          <w:rFonts w:ascii="Calibri Light" w:eastAsia="Calibri Light" w:hAnsi="Calibri Light" w:cs="Calibri Light"/>
          <w:noProof/>
          <w:spacing w:val="1"/>
          <w:sz w:val="21"/>
          <w:szCs w:val="21"/>
          <w:lang w:eastAsia="en-GB"/>
        </w:rPr>
        <w:drawing>
          <wp:anchor distT="0" distB="0" distL="114300" distR="114300" simplePos="0" relativeHeight="251680255" behindDoc="0" locked="0" layoutInCell="1" allowOverlap="1" wp14:anchorId="1DBE3051" wp14:editId="3EC058DA">
            <wp:simplePos x="0" y="0"/>
            <wp:positionH relativeFrom="margin">
              <wp:align>left</wp:align>
            </wp:positionH>
            <wp:positionV relativeFrom="paragraph">
              <wp:posOffset>339090</wp:posOffset>
            </wp:positionV>
            <wp:extent cx="5731510" cy="3905885"/>
            <wp:effectExtent l="0" t="0" r="2540" b="0"/>
            <wp:wrapTopAndBottom/>
            <wp:docPr id="7" name="Picture 7" descr="10. EUNIS Level 3 Biotope Map 2011-2012 Overview_V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10. EUNIS Level 3 Biotope Map 2011-2012 Overview_V02"/>
                    <pic:cNvPicPr>
                      <a:picLocks noChangeAspect="1" noChangeArrowheads="1"/>
                    </pic:cNvPicPr>
                  </pic:nvPicPr>
                  <pic:blipFill>
                    <a:blip r:embed="rId38">
                      <a:extLst>
                        <a:ext uri="{28A0092B-C50C-407E-A947-70E740481C1C}">
                          <a14:useLocalDpi xmlns:a14="http://schemas.microsoft.com/office/drawing/2010/main" val="0"/>
                        </a:ext>
                      </a:extLst>
                    </a:blip>
                    <a:srcRect l="2364" t="2888" r="792" b="3780"/>
                    <a:stretch>
                      <a:fillRect/>
                    </a:stretch>
                  </pic:blipFill>
                  <pic:spPr bwMode="auto">
                    <a:xfrm>
                      <a:off x="0" y="0"/>
                      <a:ext cx="5731510" cy="39058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91524">
        <w:t>EUNIS mapping</w:t>
      </w:r>
      <w:bookmarkEnd w:id="133"/>
      <w:bookmarkEnd w:id="134"/>
      <w:r w:rsidR="00D66ACD" w:rsidRPr="00B91524">
        <w:t xml:space="preserve"> </w:t>
      </w:r>
    </w:p>
    <w:p w14:paraId="672BAADA" w14:textId="77777777" w:rsidR="00CA16C2" w:rsidRPr="00B91524" w:rsidRDefault="00CA16C2" w:rsidP="00CA16C2">
      <w:pPr>
        <w:pStyle w:val="Caption"/>
      </w:pPr>
    </w:p>
    <w:p w14:paraId="6FD54381" w14:textId="0002E489" w:rsidR="00D66ACD" w:rsidRPr="00B91524" w:rsidRDefault="004C0186" w:rsidP="00CA16C2">
      <w:pPr>
        <w:pStyle w:val="Caption"/>
        <w:rPr>
          <w:rFonts w:eastAsia="Calibri Light"/>
          <w:sz w:val="22"/>
        </w:rPr>
      </w:pPr>
      <w:r w:rsidRPr="00B91524">
        <w:t xml:space="preserve">Figure B1 </w:t>
      </w:r>
      <w:r w:rsidR="00CA16C2" w:rsidRPr="00B91524">
        <w:t xml:space="preserve">EUNIS </w:t>
      </w:r>
      <w:r w:rsidR="000E2DD1" w:rsidRPr="00B91524">
        <w:t>classification</w:t>
      </w:r>
      <w:r w:rsidR="00CA16C2" w:rsidRPr="00B91524">
        <w:t xml:space="preserve"> mapping of the SOWF array area based on geophysical and benthic ecology data collected during the benthic characterisation surveys of the Dogger Bank Zone. </w:t>
      </w:r>
      <w:r w:rsidR="00D66ACD" w:rsidRPr="00B91524">
        <w:t xml:space="preserve">Note that this is derived from the original MNCR mapping conducted during the EIA correlated to </w:t>
      </w:r>
      <w:r w:rsidR="000E2DD1" w:rsidRPr="00B91524">
        <w:t xml:space="preserve">the </w:t>
      </w:r>
      <w:r w:rsidR="00D66ACD" w:rsidRPr="00B91524">
        <w:t xml:space="preserve">EUNIS </w:t>
      </w:r>
      <w:r w:rsidR="000E2DD1" w:rsidRPr="00B91524">
        <w:t>habitat classification</w:t>
      </w:r>
      <w:r w:rsidR="00D66ACD" w:rsidRPr="00B91524">
        <w:t>.</w:t>
      </w:r>
    </w:p>
    <w:p w14:paraId="638B8D7E" w14:textId="0364D214" w:rsidR="00D66ACD" w:rsidRPr="00B91524" w:rsidRDefault="00D66ACD" w:rsidP="00CA16C2">
      <w:pPr>
        <w:rPr>
          <w:rFonts w:asciiTheme="minorHAnsi" w:eastAsiaTheme="majorEastAsia" w:hAnsiTheme="minorHAnsi" w:cstheme="majorBidi"/>
        </w:rPr>
      </w:pPr>
      <w:r w:rsidRPr="00B91524">
        <w:rPr>
          <w:snapToGrid w:val="0"/>
          <w:w w:val="1"/>
          <w:bdr w:val="none" w:sz="0" w:space="0" w:color="auto" w:frame="1"/>
          <w:shd w:val="clear" w:color="auto" w:fill="000000"/>
        </w:rPr>
        <w:t xml:space="preserve"> </w:t>
      </w:r>
    </w:p>
    <w:p w14:paraId="5433E93E" w14:textId="5CA15EA3" w:rsidR="00CA16C2" w:rsidRPr="00B91524" w:rsidRDefault="00CA16C2" w:rsidP="000E2DD1">
      <w:pPr>
        <w:pStyle w:val="Appendix"/>
        <w:rPr>
          <w:sz w:val="20"/>
        </w:rPr>
      </w:pPr>
      <w:bookmarkStart w:id="135" w:name="_Toc40648452"/>
      <w:bookmarkStart w:id="136" w:name="_Toc46090239"/>
      <w:bookmarkStart w:id="137" w:name="_Toc74670349"/>
      <w:r w:rsidRPr="00B91524">
        <w:rPr>
          <w:noProof/>
          <w:sz w:val="18"/>
          <w:szCs w:val="18"/>
          <w:lang w:eastAsia="en-GB"/>
        </w:rPr>
        <w:lastRenderedPageBreak/>
        <w:drawing>
          <wp:anchor distT="0" distB="0" distL="114300" distR="114300" simplePos="0" relativeHeight="251681279" behindDoc="0" locked="0" layoutInCell="1" allowOverlap="1" wp14:anchorId="15484B22" wp14:editId="03161D3A">
            <wp:simplePos x="0" y="0"/>
            <wp:positionH relativeFrom="margin">
              <wp:align>left</wp:align>
            </wp:positionH>
            <wp:positionV relativeFrom="paragraph">
              <wp:posOffset>421640</wp:posOffset>
            </wp:positionV>
            <wp:extent cx="5731510" cy="3922395"/>
            <wp:effectExtent l="0" t="0" r="2540" b="1905"/>
            <wp:wrapTopAndBottom/>
            <wp:docPr id="6" name="Picture 6" descr="11. VER Overview Map_V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11. VER Overview Map_V02"/>
                    <pic:cNvPicPr>
                      <a:picLocks noChangeAspect="1" noChangeArrowheads="1"/>
                    </pic:cNvPicPr>
                  </pic:nvPicPr>
                  <pic:blipFill>
                    <a:blip r:embed="rId39">
                      <a:extLst>
                        <a:ext uri="{28A0092B-C50C-407E-A947-70E740481C1C}">
                          <a14:useLocalDpi xmlns:a14="http://schemas.microsoft.com/office/drawing/2010/main" val="0"/>
                        </a:ext>
                      </a:extLst>
                    </a:blip>
                    <a:srcRect l="2472" t="2585" r="795" b="3780"/>
                    <a:stretch>
                      <a:fillRect/>
                    </a:stretch>
                  </pic:blipFill>
                  <pic:spPr bwMode="auto">
                    <a:xfrm>
                      <a:off x="0" y="0"/>
                      <a:ext cx="5731510" cy="3922395"/>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135"/>
      <w:r w:rsidR="00D66ACD" w:rsidRPr="00B91524">
        <w:t>Valued Ecological Receptor (VER) categories</w:t>
      </w:r>
      <w:bookmarkEnd w:id="136"/>
      <w:bookmarkEnd w:id="137"/>
      <w:r w:rsidR="00D66ACD" w:rsidRPr="00B91524">
        <w:t xml:space="preserve"> </w:t>
      </w:r>
    </w:p>
    <w:p w14:paraId="538F8E5E" w14:textId="77777777" w:rsidR="00CA16C2" w:rsidRPr="00B91524" w:rsidRDefault="00CA16C2" w:rsidP="00CA16C2">
      <w:pPr>
        <w:pStyle w:val="Caption"/>
      </w:pPr>
    </w:p>
    <w:p w14:paraId="7BC00EAF" w14:textId="440BCF04" w:rsidR="00D66ACD" w:rsidRPr="00B91524" w:rsidRDefault="004C0186" w:rsidP="00CA16C2">
      <w:pPr>
        <w:pStyle w:val="Caption"/>
        <w:rPr>
          <w:sz w:val="20"/>
        </w:rPr>
      </w:pPr>
      <w:r w:rsidRPr="00B91524">
        <w:t>Figure C1</w:t>
      </w:r>
      <w:r w:rsidR="00CA16C2" w:rsidRPr="00B91524">
        <w:t xml:space="preserve"> Valued Ecological Receptor (VER) categories </w:t>
      </w:r>
      <w:r w:rsidR="00D66ACD" w:rsidRPr="00B91524">
        <w:t xml:space="preserve">of the SOWF array area based on geophysical and benthic ecology data collected during the benthic characterisation surveys of the Dogger Bank Zone. Full details of VER categories can be found in Appendix </w:t>
      </w:r>
      <w:r w:rsidR="0026251B" w:rsidRPr="00B91524">
        <w:t>E</w:t>
      </w:r>
      <w:r w:rsidR="00D66ACD" w:rsidRPr="00B91524">
        <w:t>.</w:t>
      </w:r>
    </w:p>
    <w:p w14:paraId="12004FB4" w14:textId="77777777" w:rsidR="00D66ACD" w:rsidRPr="00B91524" w:rsidRDefault="00D66ACD" w:rsidP="00D66ACD">
      <w:pPr>
        <w:rPr>
          <w:bCs/>
          <w:sz w:val="20"/>
          <w:szCs w:val="18"/>
        </w:rPr>
        <w:sectPr w:rsidR="00D66ACD" w:rsidRPr="00B91524">
          <w:pgSz w:w="16838" w:h="11906" w:orient="landscape"/>
          <w:pgMar w:top="1440" w:right="1440" w:bottom="1440" w:left="1440" w:header="709" w:footer="709" w:gutter="0"/>
          <w:cols w:space="720"/>
        </w:sectPr>
      </w:pPr>
    </w:p>
    <w:p w14:paraId="30FE773F" w14:textId="4C43A13F" w:rsidR="00D66ACD" w:rsidRPr="00B91524" w:rsidRDefault="00D66ACD" w:rsidP="00CA16C2">
      <w:pPr>
        <w:pStyle w:val="Appendix"/>
        <w:ind w:left="0" w:firstLine="0"/>
      </w:pPr>
      <w:bookmarkStart w:id="138" w:name="_Toc46090240"/>
      <w:bookmarkStart w:id="139" w:name="_Toc74670350"/>
      <w:r w:rsidRPr="00B91524">
        <w:lastRenderedPageBreak/>
        <w:t>Valued Ecological Receptor (VER) protection status and conservation interest and their importance/value within the study area.</w:t>
      </w:r>
      <w:bookmarkEnd w:id="138"/>
      <w:bookmarkEnd w:id="139"/>
    </w:p>
    <w:p w14:paraId="598DDC54" w14:textId="754FD1DA" w:rsidR="00744973" w:rsidRPr="00B91524" w:rsidRDefault="00744973" w:rsidP="00744973">
      <w:pPr>
        <w:pStyle w:val="Caption"/>
      </w:pPr>
      <w:r w:rsidRPr="00B91524">
        <w:t xml:space="preserve">Table </w:t>
      </w:r>
      <w:r w:rsidR="004C0186" w:rsidRPr="00B91524">
        <w:t>D1</w:t>
      </w:r>
      <w:r w:rsidRPr="00B91524">
        <w:t xml:space="preserve"> Valued Ecological Receptor protection status, conservation interest and their importance/value within the study area.</w:t>
      </w:r>
    </w:p>
    <w:p w14:paraId="2D3170F9" w14:textId="77777777" w:rsidR="00D66ACD" w:rsidRPr="00B91524" w:rsidRDefault="00D66ACD" w:rsidP="00D66ACD">
      <w:pPr>
        <w:rPr>
          <w:rFonts w:asciiTheme="minorHAnsi" w:hAnsiTheme="minorHAnsi"/>
        </w:rPr>
      </w:pPr>
      <w:r w:rsidRPr="00B91524">
        <w:rPr>
          <w:noProof/>
        </w:rPr>
        <w:drawing>
          <wp:inline distT="0" distB="0" distL="0" distR="0" wp14:anchorId="2CE4BF7F" wp14:editId="5E9337C9">
            <wp:extent cx="5731510" cy="3275330"/>
            <wp:effectExtent l="0" t="0" r="2540" b="127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0">
                      <a:extLst>
                        <a:ext uri="{28A0092B-C50C-407E-A947-70E740481C1C}">
                          <a14:useLocalDpi xmlns:a14="http://schemas.microsoft.com/office/drawing/2010/main" val="0"/>
                        </a:ext>
                      </a:extLst>
                    </a:blip>
                    <a:srcRect l="2255" t="8537" r="2959"/>
                    <a:stretch>
                      <a:fillRect/>
                    </a:stretch>
                  </pic:blipFill>
                  <pic:spPr bwMode="auto">
                    <a:xfrm>
                      <a:off x="0" y="0"/>
                      <a:ext cx="5731510" cy="3275330"/>
                    </a:xfrm>
                    <a:prstGeom prst="rect">
                      <a:avLst/>
                    </a:prstGeom>
                    <a:noFill/>
                    <a:ln>
                      <a:noFill/>
                    </a:ln>
                  </pic:spPr>
                </pic:pic>
              </a:graphicData>
            </a:graphic>
          </wp:inline>
        </w:drawing>
      </w:r>
    </w:p>
    <w:p w14:paraId="5CC7C610" w14:textId="77777777" w:rsidR="00D66ACD" w:rsidRPr="00B91524" w:rsidRDefault="00D66ACD" w:rsidP="00D66ACD"/>
    <w:p w14:paraId="77064A32" w14:textId="77777777" w:rsidR="00D66ACD" w:rsidRPr="00B91524" w:rsidRDefault="00D66ACD" w:rsidP="00D66ACD">
      <w:r w:rsidRPr="00B91524">
        <w:rPr>
          <w:noProof/>
        </w:rPr>
        <w:lastRenderedPageBreak/>
        <w:drawing>
          <wp:inline distT="0" distB="0" distL="0" distR="0" wp14:anchorId="50D01341" wp14:editId="579854B0">
            <wp:extent cx="5819775" cy="368087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41">
                      <a:extLst>
                        <a:ext uri="{28A0092B-C50C-407E-A947-70E740481C1C}">
                          <a14:useLocalDpi xmlns:a14="http://schemas.microsoft.com/office/drawing/2010/main" val="0"/>
                        </a:ext>
                      </a:extLst>
                    </a:blip>
                    <a:srcRect l="1905"/>
                    <a:stretch/>
                  </pic:blipFill>
                  <pic:spPr bwMode="auto">
                    <a:xfrm>
                      <a:off x="0" y="0"/>
                      <a:ext cx="5835406" cy="3690761"/>
                    </a:xfrm>
                    <a:prstGeom prst="rect">
                      <a:avLst/>
                    </a:prstGeom>
                    <a:noFill/>
                    <a:ln>
                      <a:noFill/>
                    </a:ln>
                    <a:extLst>
                      <a:ext uri="{53640926-AAD7-44D8-BBD7-CCE9431645EC}">
                        <a14:shadowObscured xmlns:a14="http://schemas.microsoft.com/office/drawing/2010/main"/>
                      </a:ext>
                    </a:extLst>
                  </pic:spPr>
                </pic:pic>
              </a:graphicData>
            </a:graphic>
          </wp:inline>
        </w:drawing>
      </w:r>
    </w:p>
    <w:p w14:paraId="47596011" w14:textId="77777777" w:rsidR="00D66ACD" w:rsidRPr="00B91524" w:rsidRDefault="00D66ACD" w:rsidP="00D66ACD">
      <w:r w:rsidRPr="00B91524">
        <w:rPr>
          <w:noProof/>
        </w:rPr>
        <w:drawing>
          <wp:inline distT="0" distB="0" distL="0" distR="0" wp14:anchorId="0A87C0CD" wp14:editId="14FC23DC">
            <wp:extent cx="5731510" cy="911225"/>
            <wp:effectExtent l="0" t="0" r="2540" b="317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731510" cy="911225"/>
                    </a:xfrm>
                    <a:prstGeom prst="rect">
                      <a:avLst/>
                    </a:prstGeom>
                    <a:noFill/>
                    <a:ln>
                      <a:noFill/>
                    </a:ln>
                  </pic:spPr>
                </pic:pic>
              </a:graphicData>
            </a:graphic>
          </wp:inline>
        </w:drawing>
      </w:r>
    </w:p>
    <w:p w14:paraId="4AC7486A" w14:textId="77777777" w:rsidR="00D66ACD" w:rsidRPr="00B91524" w:rsidRDefault="00D66ACD" w:rsidP="00D66ACD"/>
    <w:p w14:paraId="5A31D4FC" w14:textId="77777777" w:rsidR="00D66ACD" w:rsidRPr="00B91524" w:rsidRDefault="00D66ACD" w:rsidP="00D66ACD"/>
    <w:p w14:paraId="44C4B684" w14:textId="77777777" w:rsidR="00D66ACD" w:rsidRPr="00B91524" w:rsidRDefault="00D66ACD" w:rsidP="00D66ACD">
      <w:pPr>
        <w:sectPr w:rsidR="00D66ACD" w:rsidRPr="00B91524">
          <w:pgSz w:w="16838" w:h="11906" w:orient="landscape"/>
          <w:pgMar w:top="1440" w:right="1440" w:bottom="1440" w:left="1440" w:header="709" w:footer="709" w:gutter="0"/>
          <w:cols w:space="720"/>
        </w:sectPr>
      </w:pPr>
    </w:p>
    <w:p w14:paraId="164603CF" w14:textId="170CC69D" w:rsidR="00CA16C2" w:rsidRPr="00B91524" w:rsidRDefault="00D66ACD" w:rsidP="00CA16C2">
      <w:pPr>
        <w:pStyle w:val="Appendix"/>
        <w:ind w:left="0" w:firstLine="0"/>
      </w:pPr>
      <w:bookmarkStart w:id="140" w:name="_Toc46090241"/>
      <w:bookmarkStart w:id="141" w:name="_Toc74670351"/>
      <w:r w:rsidRPr="00B91524">
        <w:lastRenderedPageBreak/>
        <w:t>Summary of predicted effects of SOWF on benthic habitats.</w:t>
      </w:r>
      <w:bookmarkEnd w:id="140"/>
      <w:bookmarkEnd w:id="141"/>
      <w:r w:rsidRPr="00B91524">
        <w:t xml:space="preserve"> </w:t>
      </w:r>
    </w:p>
    <w:p w14:paraId="75507C5F" w14:textId="37D5F56E" w:rsidR="00744973" w:rsidRPr="00B91524" w:rsidRDefault="00744973" w:rsidP="00744973">
      <w:pPr>
        <w:pStyle w:val="Caption"/>
      </w:pPr>
      <w:r w:rsidRPr="00B91524">
        <w:t xml:space="preserve">Table </w:t>
      </w:r>
      <w:r w:rsidR="004C0186" w:rsidRPr="00B91524">
        <w:t>E1</w:t>
      </w:r>
      <w:r w:rsidRPr="00B91524">
        <w:t xml:space="preserve"> Summary of predicted effects on SOWF on benthic habitats.</w:t>
      </w:r>
    </w:p>
    <w:tbl>
      <w:tblPr>
        <w:tblW w:w="5230" w:type="pct"/>
        <w:tblLook w:val="04A0" w:firstRow="1" w:lastRow="0" w:firstColumn="1" w:lastColumn="0" w:noHBand="0" w:noVBand="1"/>
      </w:tblPr>
      <w:tblGrid>
        <w:gridCol w:w="2548"/>
        <w:gridCol w:w="3346"/>
        <w:gridCol w:w="3968"/>
        <w:gridCol w:w="332"/>
      </w:tblGrid>
      <w:tr w:rsidR="000E2DD1" w:rsidRPr="00B91524" w14:paraId="150D21B6" w14:textId="77777777" w:rsidTr="000E2DD1">
        <w:trPr>
          <w:gridAfter w:val="1"/>
          <w:wAfter w:w="163" w:type="pct"/>
          <w:trHeight w:val="286"/>
        </w:trPr>
        <w:tc>
          <w:tcPr>
            <w:tcW w:w="1250" w:type="pct"/>
            <w:tcBorders>
              <w:top w:val="single" w:sz="4" w:space="0" w:color="auto"/>
              <w:left w:val="single" w:sz="4" w:space="0" w:color="auto"/>
              <w:bottom w:val="single" w:sz="4" w:space="0" w:color="auto"/>
              <w:right w:val="single" w:sz="4" w:space="0" w:color="auto"/>
            </w:tcBorders>
            <w:shd w:val="clear" w:color="000000" w:fill="1D4477"/>
            <w:vAlign w:val="center"/>
            <w:hideMark/>
          </w:tcPr>
          <w:p w14:paraId="30EFF7E3" w14:textId="77777777" w:rsidR="000E2DD1" w:rsidRPr="00B91524" w:rsidRDefault="000E2DD1" w:rsidP="000E2DD1">
            <w:pPr>
              <w:spacing w:after="0"/>
              <w:jc w:val="center"/>
              <w:rPr>
                <w:rFonts w:cs="Arial"/>
                <w:b/>
                <w:bCs/>
                <w:color w:val="FFFFFF"/>
                <w:sz w:val="16"/>
                <w:szCs w:val="16"/>
                <w:lang w:eastAsia="en-GB"/>
              </w:rPr>
            </w:pPr>
            <w:r w:rsidRPr="00B91524">
              <w:rPr>
                <w:rFonts w:cs="Arial"/>
                <w:b/>
                <w:bCs/>
                <w:color w:val="FFFFFF"/>
                <w:sz w:val="16"/>
                <w:szCs w:val="16"/>
                <w:lang w:eastAsia="en-GB"/>
              </w:rPr>
              <w:t>Impacts</w:t>
            </w:r>
          </w:p>
        </w:tc>
        <w:tc>
          <w:tcPr>
            <w:tcW w:w="1641" w:type="pct"/>
            <w:tcBorders>
              <w:top w:val="single" w:sz="4" w:space="0" w:color="auto"/>
              <w:left w:val="nil"/>
              <w:bottom w:val="single" w:sz="4" w:space="0" w:color="auto"/>
              <w:right w:val="single" w:sz="4" w:space="0" w:color="auto"/>
            </w:tcBorders>
            <w:shd w:val="clear" w:color="000000" w:fill="1D4477"/>
            <w:vAlign w:val="center"/>
            <w:hideMark/>
          </w:tcPr>
          <w:p w14:paraId="01059629" w14:textId="77777777" w:rsidR="000E2DD1" w:rsidRPr="00B91524" w:rsidRDefault="000E2DD1" w:rsidP="000E2DD1">
            <w:pPr>
              <w:spacing w:after="0"/>
              <w:jc w:val="center"/>
              <w:rPr>
                <w:rFonts w:cs="Arial"/>
                <w:b/>
                <w:bCs/>
                <w:color w:val="FFFFFF"/>
                <w:sz w:val="16"/>
                <w:szCs w:val="16"/>
                <w:lang w:eastAsia="en-GB"/>
              </w:rPr>
            </w:pPr>
            <w:r w:rsidRPr="00B91524">
              <w:rPr>
                <w:rFonts w:cs="Arial"/>
                <w:b/>
                <w:bCs/>
                <w:color w:val="FFFFFF"/>
                <w:sz w:val="16"/>
                <w:szCs w:val="16"/>
                <w:lang w:eastAsia="en-GB"/>
              </w:rPr>
              <w:t>Mitigation</w:t>
            </w:r>
          </w:p>
        </w:tc>
        <w:tc>
          <w:tcPr>
            <w:tcW w:w="1946" w:type="pct"/>
            <w:tcBorders>
              <w:top w:val="single" w:sz="4" w:space="0" w:color="auto"/>
              <w:left w:val="nil"/>
              <w:bottom w:val="single" w:sz="4" w:space="0" w:color="auto"/>
              <w:right w:val="single" w:sz="4" w:space="0" w:color="auto"/>
            </w:tcBorders>
            <w:shd w:val="clear" w:color="000000" w:fill="1D4477"/>
            <w:vAlign w:val="center"/>
            <w:hideMark/>
          </w:tcPr>
          <w:p w14:paraId="4E5E5C70" w14:textId="77777777" w:rsidR="000E2DD1" w:rsidRPr="00B91524" w:rsidRDefault="000E2DD1" w:rsidP="000E2DD1">
            <w:pPr>
              <w:spacing w:after="0"/>
              <w:jc w:val="center"/>
              <w:rPr>
                <w:rFonts w:cs="Arial"/>
                <w:b/>
                <w:bCs/>
                <w:color w:val="FFFFFF"/>
                <w:sz w:val="16"/>
                <w:szCs w:val="16"/>
                <w:lang w:eastAsia="en-GB"/>
              </w:rPr>
            </w:pPr>
            <w:r w:rsidRPr="00B91524">
              <w:rPr>
                <w:rFonts w:cs="Arial"/>
                <w:b/>
                <w:bCs/>
                <w:color w:val="FFFFFF"/>
                <w:sz w:val="16"/>
                <w:szCs w:val="16"/>
                <w:lang w:eastAsia="en-GB"/>
              </w:rPr>
              <w:t>Residual impact</w:t>
            </w:r>
          </w:p>
        </w:tc>
      </w:tr>
      <w:tr w:rsidR="000E2DD1" w:rsidRPr="00B91524" w14:paraId="42A95018" w14:textId="77777777" w:rsidTr="000E2DD1">
        <w:trPr>
          <w:gridAfter w:val="1"/>
          <w:wAfter w:w="163" w:type="pct"/>
          <w:trHeight w:val="286"/>
        </w:trPr>
        <w:tc>
          <w:tcPr>
            <w:tcW w:w="4837" w:type="pct"/>
            <w:gridSpan w:val="3"/>
            <w:tcBorders>
              <w:top w:val="single" w:sz="4" w:space="0" w:color="auto"/>
              <w:left w:val="single" w:sz="4" w:space="0" w:color="auto"/>
              <w:bottom w:val="single" w:sz="4" w:space="0" w:color="auto"/>
              <w:right w:val="single" w:sz="4" w:space="0" w:color="auto"/>
            </w:tcBorders>
            <w:shd w:val="clear" w:color="000000" w:fill="C4D7F0"/>
            <w:vAlign w:val="center"/>
            <w:hideMark/>
          </w:tcPr>
          <w:p w14:paraId="33D30D13" w14:textId="77777777" w:rsidR="000E2DD1" w:rsidRPr="00B91524" w:rsidRDefault="000E2DD1" w:rsidP="000E2DD1">
            <w:pPr>
              <w:spacing w:after="0"/>
              <w:rPr>
                <w:rFonts w:cs="Arial"/>
                <w:b/>
                <w:bCs/>
                <w:color w:val="000000"/>
                <w:sz w:val="16"/>
                <w:szCs w:val="16"/>
                <w:lang w:eastAsia="en-GB"/>
              </w:rPr>
            </w:pPr>
            <w:r w:rsidRPr="00B91524">
              <w:rPr>
                <w:rFonts w:cs="Arial"/>
                <w:b/>
                <w:bCs/>
                <w:color w:val="000000"/>
                <w:sz w:val="16"/>
                <w:szCs w:val="16"/>
                <w:lang w:eastAsia="en-GB"/>
              </w:rPr>
              <w:t>Construction</w:t>
            </w:r>
          </w:p>
        </w:tc>
      </w:tr>
      <w:tr w:rsidR="000E2DD1" w:rsidRPr="00B91524" w14:paraId="4FE847A8" w14:textId="77777777" w:rsidTr="000E2DD1">
        <w:trPr>
          <w:gridAfter w:val="1"/>
          <w:wAfter w:w="163" w:type="pct"/>
          <w:trHeight w:val="430"/>
        </w:trPr>
        <w:tc>
          <w:tcPr>
            <w:tcW w:w="1250" w:type="pct"/>
            <w:vMerge w:val="restart"/>
            <w:tcBorders>
              <w:top w:val="nil"/>
              <w:left w:val="single" w:sz="4" w:space="0" w:color="auto"/>
              <w:bottom w:val="single" w:sz="4" w:space="0" w:color="auto"/>
              <w:right w:val="single" w:sz="4" w:space="0" w:color="auto"/>
            </w:tcBorders>
            <w:shd w:val="clear" w:color="000000" w:fill="C4D7F0"/>
            <w:vAlign w:val="center"/>
            <w:hideMark/>
          </w:tcPr>
          <w:p w14:paraId="7472796A"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Physical disturbance to habitats and species and temporary habitat loss</w:t>
            </w:r>
          </w:p>
        </w:tc>
        <w:tc>
          <w:tcPr>
            <w:tcW w:w="1641" w:type="pct"/>
            <w:vMerge w:val="restart"/>
            <w:tcBorders>
              <w:top w:val="nil"/>
              <w:left w:val="single" w:sz="4" w:space="0" w:color="auto"/>
              <w:bottom w:val="single" w:sz="4" w:space="0" w:color="auto"/>
              <w:right w:val="single" w:sz="4" w:space="0" w:color="auto"/>
            </w:tcBorders>
            <w:shd w:val="clear" w:color="000000" w:fill="C4D7F0"/>
            <w:vAlign w:val="center"/>
            <w:hideMark/>
          </w:tcPr>
          <w:p w14:paraId="66A8C966"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None</w:t>
            </w:r>
          </w:p>
        </w:tc>
        <w:tc>
          <w:tcPr>
            <w:tcW w:w="1946" w:type="pct"/>
            <w:tcBorders>
              <w:top w:val="nil"/>
              <w:left w:val="nil"/>
              <w:bottom w:val="single" w:sz="4" w:space="0" w:color="auto"/>
              <w:right w:val="single" w:sz="4" w:space="0" w:color="auto"/>
            </w:tcBorders>
            <w:shd w:val="clear" w:color="000000" w:fill="C4D7F0"/>
            <w:vAlign w:val="center"/>
            <w:hideMark/>
          </w:tcPr>
          <w:p w14:paraId="74432B7D" w14:textId="77777777" w:rsidR="000E2DD1" w:rsidRPr="00B91524" w:rsidRDefault="000E2DD1" w:rsidP="000E2DD1">
            <w:pPr>
              <w:spacing w:after="0"/>
              <w:rPr>
                <w:rFonts w:cs="Arial"/>
                <w:b/>
                <w:bCs/>
                <w:color w:val="000000"/>
                <w:sz w:val="16"/>
                <w:szCs w:val="16"/>
                <w:lang w:eastAsia="en-GB"/>
              </w:rPr>
            </w:pPr>
            <w:r w:rsidRPr="00B91524">
              <w:rPr>
                <w:rFonts w:cs="Arial"/>
                <w:b/>
                <w:bCs/>
                <w:color w:val="000000"/>
                <w:sz w:val="16"/>
                <w:szCs w:val="16"/>
                <w:lang w:eastAsia="en-GB"/>
              </w:rPr>
              <w:t xml:space="preserve">Negligible </w:t>
            </w:r>
            <w:r w:rsidRPr="00B91524">
              <w:rPr>
                <w:rFonts w:cs="Arial"/>
                <w:color w:val="000000"/>
                <w:sz w:val="16"/>
                <w:szCs w:val="16"/>
                <w:lang w:eastAsia="en-GB"/>
              </w:rPr>
              <w:t>impact on all VER apart from VER C</w:t>
            </w:r>
          </w:p>
        </w:tc>
      </w:tr>
      <w:tr w:rsidR="000E2DD1" w:rsidRPr="00B91524" w14:paraId="2D3F3BED" w14:textId="77777777" w:rsidTr="000E2DD1">
        <w:trPr>
          <w:gridAfter w:val="1"/>
          <w:wAfter w:w="163" w:type="pct"/>
          <w:trHeight w:val="286"/>
        </w:trPr>
        <w:tc>
          <w:tcPr>
            <w:tcW w:w="1250" w:type="pct"/>
            <w:vMerge/>
            <w:tcBorders>
              <w:top w:val="nil"/>
              <w:left w:val="single" w:sz="4" w:space="0" w:color="auto"/>
              <w:bottom w:val="single" w:sz="4" w:space="0" w:color="auto"/>
              <w:right w:val="single" w:sz="4" w:space="0" w:color="auto"/>
            </w:tcBorders>
            <w:vAlign w:val="center"/>
            <w:hideMark/>
          </w:tcPr>
          <w:p w14:paraId="1D11CB94" w14:textId="77777777" w:rsidR="000E2DD1" w:rsidRPr="00B91524" w:rsidRDefault="000E2DD1" w:rsidP="000E2DD1">
            <w:pPr>
              <w:spacing w:after="0"/>
              <w:rPr>
                <w:rFonts w:cs="Arial"/>
                <w:color w:val="000000"/>
                <w:sz w:val="16"/>
                <w:szCs w:val="16"/>
                <w:lang w:eastAsia="en-GB"/>
              </w:rPr>
            </w:pPr>
          </w:p>
        </w:tc>
        <w:tc>
          <w:tcPr>
            <w:tcW w:w="1641" w:type="pct"/>
            <w:vMerge/>
            <w:tcBorders>
              <w:top w:val="nil"/>
              <w:left w:val="single" w:sz="4" w:space="0" w:color="auto"/>
              <w:bottom w:val="single" w:sz="4" w:space="0" w:color="auto"/>
              <w:right w:val="single" w:sz="4" w:space="0" w:color="auto"/>
            </w:tcBorders>
            <w:vAlign w:val="center"/>
            <w:hideMark/>
          </w:tcPr>
          <w:p w14:paraId="4EBBB48C" w14:textId="77777777" w:rsidR="000E2DD1" w:rsidRPr="00B91524" w:rsidRDefault="000E2DD1" w:rsidP="000E2DD1">
            <w:pPr>
              <w:spacing w:after="0"/>
              <w:rPr>
                <w:rFonts w:cs="Arial"/>
                <w:color w:val="000000"/>
                <w:sz w:val="16"/>
                <w:szCs w:val="16"/>
                <w:lang w:eastAsia="en-GB"/>
              </w:rPr>
            </w:pPr>
          </w:p>
        </w:tc>
        <w:tc>
          <w:tcPr>
            <w:tcW w:w="1946" w:type="pct"/>
            <w:tcBorders>
              <w:top w:val="nil"/>
              <w:left w:val="nil"/>
              <w:bottom w:val="single" w:sz="4" w:space="0" w:color="auto"/>
              <w:right w:val="single" w:sz="4" w:space="0" w:color="auto"/>
            </w:tcBorders>
            <w:shd w:val="clear" w:color="000000" w:fill="C4D7F0"/>
            <w:vAlign w:val="center"/>
            <w:hideMark/>
          </w:tcPr>
          <w:p w14:paraId="120A3927"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 </w:t>
            </w:r>
          </w:p>
        </w:tc>
      </w:tr>
      <w:tr w:rsidR="000E2DD1" w:rsidRPr="00B91524" w14:paraId="418B37E6" w14:textId="77777777" w:rsidTr="000E2DD1">
        <w:trPr>
          <w:gridAfter w:val="1"/>
          <w:wAfter w:w="163" w:type="pct"/>
          <w:trHeight w:val="286"/>
        </w:trPr>
        <w:tc>
          <w:tcPr>
            <w:tcW w:w="1250" w:type="pct"/>
            <w:vMerge/>
            <w:tcBorders>
              <w:top w:val="nil"/>
              <w:left w:val="single" w:sz="4" w:space="0" w:color="auto"/>
              <w:bottom w:val="single" w:sz="4" w:space="0" w:color="auto"/>
              <w:right w:val="single" w:sz="4" w:space="0" w:color="auto"/>
            </w:tcBorders>
            <w:vAlign w:val="center"/>
            <w:hideMark/>
          </w:tcPr>
          <w:p w14:paraId="6DEAB3C2" w14:textId="77777777" w:rsidR="000E2DD1" w:rsidRPr="00B91524" w:rsidRDefault="000E2DD1" w:rsidP="000E2DD1">
            <w:pPr>
              <w:spacing w:after="0"/>
              <w:rPr>
                <w:rFonts w:cs="Arial"/>
                <w:color w:val="000000"/>
                <w:sz w:val="16"/>
                <w:szCs w:val="16"/>
                <w:lang w:eastAsia="en-GB"/>
              </w:rPr>
            </w:pPr>
          </w:p>
        </w:tc>
        <w:tc>
          <w:tcPr>
            <w:tcW w:w="1641" w:type="pct"/>
            <w:vMerge/>
            <w:tcBorders>
              <w:top w:val="nil"/>
              <w:left w:val="single" w:sz="4" w:space="0" w:color="auto"/>
              <w:bottom w:val="single" w:sz="4" w:space="0" w:color="auto"/>
              <w:right w:val="single" w:sz="4" w:space="0" w:color="auto"/>
            </w:tcBorders>
            <w:vAlign w:val="center"/>
            <w:hideMark/>
          </w:tcPr>
          <w:p w14:paraId="5FFF1050" w14:textId="77777777" w:rsidR="000E2DD1" w:rsidRPr="00B91524" w:rsidRDefault="000E2DD1" w:rsidP="000E2DD1">
            <w:pPr>
              <w:spacing w:after="0"/>
              <w:rPr>
                <w:rFonts w:cs="Arial"/>
                <w:color w:val="000000"/>
                <w:sz w:val="16"/>
                <w:szCs w:val="16"/>
                <w:lang w:eastAsia="en-GB"/>
              </w:rPr>
            </w:pPr>
          </w:p>
        </w:tc>
        <w:tc>
          <w:tcPr>
            <w:tcW w:w="1946" w:type="pct"/>
            <w:tcBorders>
              <w:top w:val="nil"/>
              <w:left w:val="nil"/>
              <w:bottom w:val="single" w:sz="4" w:space="0" w:color="auto"/>
              <w:right w:val="single" w:sz="4" w:space="0" w:color="auto"/>
            </w:tcBorders>
            <w:shd w:val="clear" w:color="000000" w:fill="C4D7F0"/>
            <w:vAlign w:val="center"/>
            <w:hideMark/>
          </w:tcPr>
          <w:p w14:paraId="5721AA33" w14:textId="77777777" w:rsidR="000E2DD1" w:rsidRPr="00B91524" w:rsidRDefault="000E2DD1" w:rsidP="000E2DD1">
            <w:pPr>
              <w:spacing w:after="0"/>
              <w:rPr>
                <w:rFonts w:cs="Arial"/>
                <w:b/>
                <w:bCs/>
                <w:color w:val="000000"/>
                <w:sz w:val="16"/>
                <w:szCs w:val="16"/>
                <w:lang w:eastAsia="en-GB"/>
              </w:rPr>
            </w:pPr>
            <w:r w:rsidRPr="00B91524">
              <w:rPr>
                <w:rFonts w:cs="Arial"/>
                <w:b/>
                <w:bCs/>
                <w:color w:val="000000"/>
                <w:sz w:val="16"/>
                <w:szCs w:val="16"/>
                <w:lang w:eastAsia="en-GB"/>
              </w:rPr>
              <w:t xml:space="preserve">Minor adverse </w:t>
            </w:r>
            <w:r w:rsidRPr="00B91524">
              <w:rPr>
                <w:rFonts w:cs="Arial"/>
                <w:color w:val="000000"/>
                <w:sz w:val="16"/>
                <w:szCs w:val="16"/>
                <w:lang w:eastAsia="en-GB"/>
              </w:rPr>
              <w:t>impact on VER C</w:t>
            </w:r>
          </w:p>
        </w:tc>
      </w:tr>
      <w:tr w:rsidR="000E2DD1" w:rsidRPr="00B91524" w14:paraId="47AA9CBE" w14:textId="77777777" w:rsidTr="000E2DD1">
        <w:trPr>
          <w:gridAfter w:val="1"/>
          <w:wAfter w:w="163" w:type="pct"/>
          <w:trHeight w:val="430"/>
        </w:trPr>
        <w:tc>
          <w:tcPr>
            <w:tcW w:w="1250" w:type="pct"/>
            <w:vMerge w:val="restart"/>
            <w:tcBorders>
              <w:top w:val="nil"/>
              <w:left w:val="single" w:sz="4" w:space="0" w:color="auto"/>
              <w:bottom w:val="single" w:sz="4" w:space="0" w:color="auto"/>
              <w:right w:val="single" w:sz="4" w:space="0" w:color="auto"/>
            </w:tcBorders>
            <w:shd w:val="clear" w:color="000000" w:fill="C4D7F0"/>
            <w:vAlign w:val="center"/>
            <w:hideMark/>
          </w:tcPr>
          <w:p w14:paraId="14EC5670"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Increased suspended sediment concentration and sediment deposition</w:t>
            </w:r>
          </w:p>
        </w:tc>
        <w:tc>
          <w:tcPr>
            <w:tcW w:w="1641" w:type="pct"/>
            <w:vMerge w:val="restart"/>
            <w:tcBorders>
              <w:top w:val="nil"/>
              <w:left w:val="single" w:sz="4" w:space="0" w:color="auto"/>
              <w:bottom w:val="single" w:sz="4" w:space="0" w:color="auto"/>
              <w:right w:val="single" w:sz="4" w:space="0" w:color="auto"/>
            </w:tcBorders>
            <w:shd w:val="clear" w:color="000000" w:fill="C4D7F0"/>
            <w:vAlign w:val="center"/>
            <w:hideMark/>
          </w:tcPr>
          <w:p w14:paraId="49BCBF09"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None</w:t>
            </w:r>
          </w:p>
        </w:tc>
        <w:tc>
          <w:tcPr>
            <w:tcW w:w="1946" w:type="pct"/>
            <w:tcBorders>
              <w:top w:val="nil"/>
              <w:left w:val="nil"/>
              <w:bottom w:val="single" w:sz="4" w:space="0" w:color="auto"/>
              <w:right w:val="single" w:sz="4" w:space="0" w:color="auto"/>
            </w:tcBorders>
            <w:shd w:val="clear" w:color="000000" w:fill="C4D7F0"/>
            <w:vAlign w:val="center"/>
            <w:hideMark/>
          </w:tcPr>
          <w:p w14:paraId="68F98685" w14:textId="77777777" w:rsidR="000E2DD1" w:rsidRPr="00B91524" w:rsidRDefault="000E2DD1" w:rsidP="000E2DD1">
            <w:pPr>
              <w:spacing w:after="0"/>
              <w:rPr>
                <w:rFonts w:cs="Arial"/>
                <w:b/>
                <w:bCs/>
                <w:color w:val="000000"/>
                <w:sz w:val="16"/>
                <w:szCs w:val="16"/>
                <w:lang w:eastAsia="en-GB"/>
              </w:rPr>
            </w:pPr>
            <w:r w:rsidRPr="00B91524">
              <w:rPr>
                <w:rFonts w:cs="Arial"/>
                <w:b/>
                <w:bCs/>
                <w:color w:val="000000"/>
                <w:sz w:val="16"/>
                <w:szCs w:val="16"/>
                <w:lang w:eastAsia="en-GB"/>
              </w:rPr>
              <w:t xml:space="preserve">Negligible </w:t>
            </w:r>
            <w:r w:rsidRPr="00B91524">
              <w:rPr>
                <w:rFonts w:cs="Arial"/>
                <w:color w:val="000000"/>
                <w:sz w:val="16"/>
                <w:szCs w:val="16"/>
                <w:lang w:eastAsia="en-GB"/>
              </w:rPr>
              <w:t>impact on all VER apart from VER C</w:t>
            </w:r>
          </w:p>
        </w:tc>
      </w:tr>
      <w:tr w:rsidR="000E2DD1" w:rsidRPr="00B91524" w14:paraId="269A2064" w14:textId="77777777" w:rsidTr="000E2DD1">
        <w:trPr>
          <w:gridAfter w:val="1"/>
          <w:wAfter w:w="163" w:type="pct"/>
          <w:trHeight w:val="286"/>
        </w:trPr>
        <w:tc>
          <w:tcPr>
            <w:tcW w:w="1250" w:type="pct"/>
            <w:vMerge/>
            <w:tcBorders>
              <w:top w:val="nil"/>
              <w:left w:val="single" w:sz="4" w:space="0" w:color="auto"/>
              <w:bottom w:val="single" w:sz="4" w:space="0" w:color="auto"/>
              <w:right w:val="single" w:sz="4" w:space="0" w:color="auto"/>
            </w:tcBorders>
            <w:vAlign w:val="center"/>
            <w:hideMark/>
          </w:tcPr>
          <w:p w14:paraId="774C0B99" w14:textId="77777777" w:rsidR="000E2DD1" w:rsidRPr="00B91524" w:rsidRDefault="000E2DD1" w:rsidP="000E2DD1">
            <w:pPr>
              <w:spacing w:after="0"/>
              <w:rPr>
                <w:rFonts w:cs="Arial"/>
                <w:color w:val="000000"/>
                <w:sz w:val="16"/>
                <w:szCs w:val="16"/>
                <w:lang w:eastAsia="en-GB"/>
              </w:rPr>
            </w:pPr>
          </w:p>
        </w:tc>
        <w:tc>
          <w:tcPr>
            <w:tcW w:w="1641" w:type="pct"/>
            <w:vMerge/>
            <w:tcBorders>
              <w:top w:val="nil"/>
              <w:left w:val="single" w:sz="4" w:space="0" w:color="auto"/>
              <w:bottom w:val="single" w:sz="4" w:space="0" w:color="auto"/>
              <w:right w:val="single" w:sz="4" w:space="0" w:color="auto"/>
            </w:tcBorders>
            <w:vAlign w:val="center"/>
            <w:hideMark/>
          </w:tcPr>
          <w:p w14:paraId="3B65DFF9" w14:textId="77777777" w:rsidR="000E2DD1" w:rsidRPr="00B91524" w:rsidRDefault="000E2DD1" w:rsidP="000E2DD1">
            <w:pPr>
              <w:spacing w:after="0"/>
              <w:rPr>
                <w:rFonts w:cs="Arial"/>
                <w:color w:val="000000"/>
                <w:sz w:val="16"/>
                <w:szCs w:val="16"/>
                <w:lang w:eastAsia="en-GB"/>
              </w:rPr>
            </w:pPr>
          </w:p>
        </w:tc>
        <w:tc>
          <w:tcPr>
            <w:tcW w:w="1946" w:type="pct"/>
            <w:tcBorders>
              <w:top w:val="nil"/>
              <w:left w:val="nil"/>
              <w:bottom w:val="single" w:sz="4" w:space="0" w:color="auto"/>
              <w:right w:val="single" w:sz="4" w:space="0" w:color="auto"/>
            </w:tcBorders>
            <w:shd w:val="clear" w:color="000000" w:fill="C4D7F0"/>
            <w:vAlign w:val="center"/>
            <w:hideMark/>
          </w:tcPr>
          <w:p w14:paraId="4E4E22CE"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 </w:t>
            </w:r>
          </w:p>
        </w:tc>
      </w:tr>
      <w:tr w:rsidR="000E2DD1" w:rsidRPr="00B91524" w14:paraId="42BB3475" w14:textId="77777777" w:rsidTr="000E2DD1">
        <w:trPr>
          <w:gridAfter w:val="1"/>
          <w:wAfter w:w="163" w:type="pct"/>
          <w:trHeight w:val="286"/>
        </w:trPr>
        <w:tc>
          <w:tcPr>
            <w:tcW w:w="1250" w:type="pct"/>
            <w:vMerge/>
            <w:tcBorders>
              <w:top w:val="nil"/>
              <w:left w:val="single" w:sz="4" w:space="0" w:color="auto"/>
              <w:bottom w:val="single" w:sz="4" w:space="0" w:color="auto"/>
              <w:right w:val="single" w:sz="4" w:space="0" w:color="auto"/>
            </w:tcBorders>
            <w:vAlign w:val="center"/>
            <w:hideMark/>
          </w:tcPr>
          <w:p w14:paraId="01D950DB" w14:textId="77777777" w:rsidR="000E2DD1" w:rsidRPr="00B91524" w:rsidRDefault="000E2DD1" w:rsidP="000E2DD1">
            <w:pPr>
              <w:spacing w:after="0"/>
              <w:rPr>
                <w:rFonts w:cs="Arial"/>
                <w:color w:val="000000"/>
                <w:sz w:val="16"/>
                <w:szCs w:val="16"/>
                <w:lang w:eastAsia="en-GB"/>
              </w:rPr>
            </w:pPr>
          </w:p>
        </w:tc>
        <w:tc>
          <w:tcPr>
            <w:tcW w:w="1641" w:type="pct"/>
            <w:vMerge/>
            <w:tcBorders>
              <w:top w:val="nil"/>
              <w:left w:val="single" w:sz="4" w:space="0" w:color="auto"/>
              <w:bottom w:val="single" w:sz="4" w:space="0" w:color="auto"/>
              <w:right w:val="single" w:sz="4" w:space="0" w:color="auto"/>
            </w:tcBorders>
            <w:vAlign w:val="center"/>
            <w:hideMark/>
          </w:tcPr>
          <w:p w14:paraId="08FFA1B3" w14:textId="77777777" w:rsidR="000E2DD1" w:rsidRPr="00B91524" w:rsidRDefault="000E2DD1" w:rsidP="000E2DD1">
            <w:pPr>
              <w:spacing w:after="0"/>
              <w:rPr>
                <w:rFonts w:cs="Arial"/>
                <w:color w:val="000000"/>
                <w:sz w:val="16"/>
                <w:szCs w:val="16"/>
                <w:lang w:eastAsia="en-GB"/>
              </w:rPr>
            </w:pPr>
          </w:p>
        </w:tc>
        <w:tc>
          <w:tcPr>
            <w:tcW w:w="1946" w:type="pct"/>
            <w:tcBorders>
              <w:top w:val="nil"/>
              <w:left w:val="nil"/>
              <w:bottom w:val="single" w:sz="4" w:space="0" w:color="auto"/>
              <w:right w:val="single" w:sz="4" w:space="0" w:color="auto"/>
            </w:tcBorders>
            <w:shd w:val="clear" w:color="000000" w:fill="C4D7F0"/>
            <w:vAlign w:val="center"/>
            <w:hideMark/>
          </w:tcPr>
          <w:p w14:paraId="51EB1616" w14:textId="77777777" w:rsidR="000E2DD1" w:rsidRPr="00B91524" w:rsidRDefault="000E2DD1" w:rsidP="000E2DD1">
            <w:pPr>
              <w:spacing w:after="0"/>
              <w:rPr>
                <w:rFonts w:cs="Arial"/>
                <w:b/>
                <w:bCs/>
                <w:color w:val="000000"/>
                <w:sz w:val="16"/>
                <w:szCs w:val="16"/>
                <w:lang w:eastAsia="en-GB"/>
              </w:rPr>
            </w:pPr>
            <w:r w:rsidRPr="00B91524">
              <w:rPr>
                <w:rFonts w:cs="Arial"/>
                <w:b/>
                <w:bCs/>
                <w:color w:val="000000"/>
                <w:sz w:val="16"/>
                <w:szCs w:val="16"/>
                <w:lang w:eastAsia="en-GB"/>
              </w:rPr>
              <w:t xml:space="preserve">Minor adverse </w:t>
            </w:r>
            <w:r w:rsidRPr="00B91524">
              <w:rPr>
                <w:rFonts w:cs="Arial"/>
                <w:color w:val="000000"/>
                <w:sz w:val="16"/>
                <w:szCs w:val="16"/>
                <w:lang w:eastAsia="en-GB"/>
              </w:rPr>
              <w:t>impact on VER C</w:t>
            </w:r>
          </w:p>
        </w:tc>
      </w:tr>
      <w:tr w:rsidR="000E2DD1" w:rsidRPr="00B91524" w14:paraId="31114D83" w14:textId="77777777" w:rsidTr="000E2DD1">
        <w:trPr>
          <w:gridAfter w:val="1"/>
          <w:wAfter w:w="163" w:type="pct"/>
          <w:trHeight w:val="861"/>
        </w:trPr>
        <w:tc>
          <w:tcPr>
            <w:tcW w:w="1250" w:type="pct"/>
            <w:vMerge w:val="restart"/>
            <w:tcBorders>
              <w:top w:val="nil"/>
              <w:left w:val="single" w:sz="4" w:space="0" w:color="auto"/>
              <w:bottom w:val="single" w:sz="4" w:space="0" w:color="auto"/>
              <w:right w:val="single" w:sz="4" w:space="0" w:color="auto"/>
            </w:tcBorders>
            <w:shd w:val="clear" w:color="000000" w:fill="C4D7F0"/>
            <w:vAlign w:val="center"/>
            <w:hideMark/>
          </w:tcPr>
          <w:p w14:paraId="22D83B55"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Release of sediment contaminants resulting in potential effects on benthic ecology</w:t>
            </w:r>
          </w:p>
        </w:tc>
        <w:tc>
          <w:tcPr>
            <w:tcW w:w="1641" w:type="pct"/>
            <w:vMerge w:val="restart"/>
            <w:tcBorders>
              <w:top w:val="nil"/>
              <w:left w:val="single" w:sz="4" w:space="0" w:color="auto"/>
              <w:bottom w:val="single" w:sz="4" w:space="0" w:color="auto"/>
              <w:right w:val="single" w:sz="4" w:space="0" w:color="auto"/>
            </w:tcBorders>
            <w:shd w:val="clear" w:color="000000" w:fill="C4D7F0"/>
            <w:vAlign w:val="center"/>
            <w:hideMark/>
          </w:tcPr>
          <w:p w14:paraId="5C68E2A6"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None</w:t>
            </w:r>
          </w:p>
        </w:tc>
        <w:tc>
          <w:tcPr>
            <w:tcW w:w="1946" w:type="pct"/>
            <w:tcBorders>
              <w:top w:val="nil"/>
              <w:left w:val="nil"/>
              <w:bottom w:val="single" w:sz="4" w:space="0" w:color="auto"/>
              <w:right w:val="single" w:sz="4" w:space="0" w:color="auto"/>
            </w:tcBorders>
            <w:shd w:val="clear" w:color="000000" w:fill="C4D7F0"/>
            <w:vAlign w:val="center"/>
            <w:hideMark/>
          </w:tcPr>
          <w:p w14:paraId="3ECBF20A" w14:textId="77777777" w:rsidR="000E2DD1" w:rsidRPr="00B91524" w:rsidRDefault="000E2DD1" w:rsidP="000E2DD1">
            <w:pPr>
              <w:spacing w:after="0"/>
              <w:rPr>
                <w:rFonts w:cs="Arial"/>
                <w:b/>
                <w:bCs/>
                <w:color w:val="000000"/>
                <w:sz w:val="16"/>
                <w:szCs w:val="16"/>
                <w:lang w:eastAsia="en-GB"/>
              </w:rPr>
            </w:pPr>
            <w:r w:rsidRPr="00B91524">
              <w:rPr>
                <w:rFonts w:cs="Arial"/>
                <w:b/>
                <w:bCs/>
                <w:color w:val="000000"/>
                <w:sz w:val="16"/>
                <w:szCs w:val="16"/>
                <w:lang w:eastAsia="en-GB"/>
              </w:rPr>
              <w:t xml:space="preserve">Negligible </w:t>
            </w:r>
            <w:r w:rsidRPr="00B91524">
              <w:rPr>
                <w:rFonts w:cs="Arial"/>
                <w:color w:val="000000"/>
                <w:sz w:val="16"/>
                <w:szCs w:val="16"/>
                <w:lang w:eastAsia="en-GB"/>
              </w:rPr>
              <w:t>impact on VERs A, B and C in wind farm sites (and furthest offshore part of the cable corridor)</w:t>
            </w:r>
          </w:p>
        </w:tc>
      </w:tr>
      <w:tr w:rsidR="000E2DD1" w:rsidRPr="00B91524" w14:paraId="1D65AECD" w14:textId="77777777" w:rsidTr="000E2DD1">
        <w:trPr>
          <w:gridAfter w:val="1"/>
          <w:wAfter w:w="163" w:type="pct"/>
          <w:trHeight w:val="286"/>
        </w:trPr>
        <w:tc>
          <w:tcPr>
            <w:tcW w:w="1250" w:type="pct"/>
            <w:vMerge/>
            <w:tcBorders>
              <w:top w:val="nil"/>
              <w:left w:val="single" w:sz="4" w:space="0" w:color="auto"/>
              <w:bottom w:val="single" w:sz="4" w:space="0" w:color="auto"/>
              <w:right w:val="single" w:sz="4" w:space="0" w:color="auto"/>
            </w:tcBorders>
            <w:vAlign w:val="center"/>
            <w:hideMark/>
          </w:tcPr>
          <w:p w14:paraId="7FD7794C" w14:textId="77777777" w:rsidR="000E2DD1" w:rsidRPr="00B91524" w:rsidRDefault="000E2DD1" w:rsidP="000E2DD1">
            <w:pPr>
              <w:spacing w:after="0"/>
              <w:rPr>
                <w:rFonts w:cs="Arial"/>
                <w:color w:val="000000"/>
                <w:sz w:val="16"/>
                <w:szCs w:val="16"/>
                <w:lang w:eastAsia="en-GB"/>
              </w:rPr>
            </w:pPr>
          </w:p>
        </w:tc>
        <w:tc>
          <w:tcPr>
            <w:tcW w:w="1641" w:type="pct"/>
            <w:vMerge/>
            <w:tcBorders>
              <w:top w:val="nil"/>
              <w:left w:val="single" w:sz="4" w:space="0" w:color="auto"/>
              <w:bottom w:val="single" w:sz="4" w:space="0" w:color="auto"/>
              <w:right w:val="single" w:sz="4" w:space="0" w:color="auto"/>
            </w:tcBorders>
            <w:vAlign w:val="center"/>
            <w:hideMark/>
          </w:tcPr>
          <w:p w14:paraId="0855493B" w14:textId="77777777" w:rsidR="000E2DD1" w:rsidRPr="00B91524" w:rsidRDefault="000E2DD1" w:rsidP="000E2DD1">
            <w:pPr>
              <w:spacing w:after="0"/>
              <w:rPr>
                <w:rFonts w:cs="Arial"/>
                <w:color w:val="000000"/>
                <w:sz w:val="16"/>
                <w:szCs w:val="16"/>
                <w:lang w:eastAsia="en-GB"/>
              </w:rPr>
            </w:pPr>
          </w:p>
        </w:tc>
        <w:tc>
          <w:tcPr>
            <w:tcW w:w="1946" w:type="pct"/>
            <w:tcBorders>
              <w:top w:val="nil"/>
              <w:left w:val="nil"/>
              <w:bottom w:val="single" w:sz="4" w:space="0" w:color="auto"/>
              <w:right w:val="single" w:sz="4" w:space="0" w:color="auto"/>
            </w:tcBorders>
            <w:shd w:val="clear" w:color="000000" w:fill="C4D7F0"/>
            <w:vAlign w:val="center"/>
            <w:hideMark/>
          </w:tcPr>
          <w:p w14:paraId="4AE71035"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 </w:t>
            </w:r>
          </w:p>
        </w:tc>
      </w:tr>
      <w:tr w:rsidR="000E2DD1" w:rsidRPr="00B91524" w14:paraId="7FEBD755" w14:textId="77777777" w:rsidTr="000E2DD1">
        <w:trPr>
          <w:gridAfter w:val="1"/>
          <w:wAfter w:w="163" w:type="pct"/>
          <w:trHeight w:val="430"/>
        </w:trPr>
        <w:tc>
          <w:tcPr>
            <w:tcW w:w="1250" w:type="pct"/>
            <w:vMerge/>
            <w:tcBorders>
              <w:top w:val="nil"/>
              <w:left w:val="single" w:sz="4" w:space="0" w:color="auto"/>
              <w:bottom w:val="single" w:sz="4" w:space="0" w:color="auto"/>
              <w:right w:val="single" w:sz="4" w:space="0" w:color="auto"/>
            </w:tcBorders>
            <w:vAlign w:val="center"/>
            <w:hideMark/>
          </w:tcPr>
          <w:p w14:paraId="60EFB760" w14:textId="77777777" w:rsidR="000E2DD1" w:rsidRPr="00B91524" w:rsidRDefault="000E2DD1" w:rsidP="000E2DD1">
            <w:pPr>
              <w:spacing w:after="0"/>
              <w:rPr>
                <w:rFonts w:cs="Arial"/>
                <w:color w:val="000000"/>
                <w:sz w:val="16"/>
                <w:szCs w:val="16"/>
                <w:lang w:eastAsia="en-GB"/>
              </w:rPr>
            </w:pPr>
          </w:p>
        </w:tc>
        <w:tc>
          <w:tcPr>
            <w:tcW w:w="1641" w:type="pct"/>
            <w:vMerge/>
            <w:tcBorders>
              <w:top w:val="nil"/>
              <w:left w:val="single" w:sz="4" w:space="0" w:color="auto"/>
              <w:bottom w:val="single" w:sz="4" w:space="0" w:color="auto"/>
              <w:right w:val="single" w:sz="4" w:space="0" w:color="auto"/>
            </w:tcBorders>
            <w:vAlign w:val="center"/>
            <w:hideMark/>
          </w:tcPr>
          <w:p w14:paraId="675AD3F6" w14:textId="77777777" w:rsidR="000E2DD1" w:rsidRPr="00B91524" w:rsidRDefault="000E2DD1" w:rsidP="000E2DD1">
            <w:pPr>
              <w:spacing w:after="0"/>
              <w:rPr>
                <w:rFonts w:cs="Arial"/>
                <w:color w:val="000000"/>
                <w:sz w:val="16"/>
                <w:szCs w:val="16"/>
                <w:lang w:eastAsia="en-GB"/>
              </w:rPr>
            </w:pPr>
          </w:p>
        </w:tc>
        <w:tc>
          <w:tcPr>
            <w:tcW w:w="1946" w:type="pct"/>
            <w:tcBorders>
              <w:top w:val="nil"/>
              <w:left w:val="nil"/>
              <w:bottom w:val="single" w:sz="4" w:space="0" w:color="auto"/>
              <w:right w:val="single" w:sz="4" w:space="0" w:color="auto"/>
            </w:tcBorders>
            <w:shd w:val="clear" w:color="000000" w:fill="C4D7F0"/>
            <w:vAlign w:val="center"/>
            <w:hideMark/>
          </w:tcPr>
          <w:p w14:paraId="22826866" w14:textId="77777777" w:rsidR="000E2DD1" w:rsidRPr="00B91524" w:rsidRDefault="000E2DD1" w:rsidP="000E2DD1">
            <w:pPr>
              <w:spacing w:after="0"/>
              <w:rPr>
                <w:rFonts w:cs="Arial"/>
                <w:b/>
                <w:bCs/>
                <w:color w:val="000000"/>
                <w:sz w:val="16"/>
                <w:szCs w:val="16"/>
                <w:lang w:eastAsia="en-GB"/>
              </w:rPr>
            </w:pPr>
            <w:r w:rsidRPr="00B91524">
              <w:rPr>
                <w:rFonts w:cs="Arial"/>
                <w:b/>
                <w:bCs/>
                <w:color w:val="000000"/>
                <w:sz w:val="16"/>
                <w:szCs w:val="16"/>
                <w:lang w:eastAsia="en-GB"/>
              </w:rPr>
              <w:t xml:space="preserve">Minor adverse </w:t>
            </w:r>
            <w:r w:rsidRPr="00B91524">
              <w:rPr>
                <w:rFonts w:cs="Arial"/>
                <w:color w:val="000000"/>
                <w:sz w:val="16"/>
                <w:szCs w:val="16"/>
                <w:lang w:eastAsia="en-GB"/>
              </w:rPr>
              <w:t>impact on VERs D to I (cable corridor VERs)</w:t>
            </w:r>
          </w:p>
        </w:tc>
      </w:tr>
      <w:tr w:rsidR="000E2DD1" w:rsidRPr="00B91524" w14:paraId="6EDC0D3C" w14:textId="77777777" w:rsidTr="000E2DD1">
        <w:trPr>
          <w:gridAfter w:val="1"/>
          <w:wAfter w:w="163" w:type="pct"/>
          <w:trHeight w:val="1292"/>
        </w:trPr>
        <w:tc>
          <w:tcPr>
            <w:tcW w:w="1250" w:type="pct"/>
            <w:tcBorders>
              <w:top w:val="nil"/>
              <w:left w:val="single" w:sz="4" w:space="0" w:color="auto"/>
              <w:bottom w:val="single" w:sz="4" w:space="0" w:color="auto"/>
              <w:right w:val="single" w:sz="4" w:space="0" w:color="auto"/>
            </w:tcBorders>
            <w:shd w:val="clear" w:color="000000" w:fill="C4D7F0"/>
            <w:vAlign w:val="center"/>
            <w:hideMark/>
          </w:tcPr>
          <w:p w14:paraId="15B0E69F"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Increased suspended sediment concentration leading to impacts on plankton and primary productivity</w:t>
            </w:r>
          </w:p>
        </w:tc>
        <w:tc>
          <w:tcPr>
            <w:tcW w:w="1641" w:type="pct"/>
            <w:tcBorders>
              <w:top w:val="nil"/>
              <w:left w:val="nil"/>
              <w:bottom w:val="single" w:sz="4" w:space="0" w:color="auto"/>
              <w:right w:val="single" w:sz="4" w:space="0" w:color="auto"/>
            </w:tcBorders>
            <w:shd w:val="clear" w:color="000000" w:fill="C4D7F0"/>
            <w:vAlign w:val="center"/>
            <w:hideMark/>
          </w:tcPr>
          <w:p w14:paraId="3E8C1649"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None</w:t>
            </w:r>
          </w:p>
        </w:tc>
        <w:tc>
          <w:tcPr>
            <w:tcW w:w="1946" w:type="pct"/>
            <w:tcBorders>
              <w:top w:val="nil"/>
              <w:left w:val="nil"/>
              <w:bottom w:val="single" w:sz="4" w:space="0" w:color="auto"/>
              <w:right w:val="single" w:sz="4" w:space="0" w:color="auto"/>
            </w:tcBorders>
            <w:shd w:val="clear" w:color="000000" w:fill="C4D7F0"/>
            <w:vAlign w:val="center"/>
            <w:hideMark/>
          </w:tcPr>
          <w:p w14:paraId="1F3FD506" w14:textId="77777777" w:rsidR="000E2DD1" w:rsidRPr="00B91524" w:rsidRDefault="000E2DD1" w:rsidP="000E2DD1">
            <w:pPr>
              <w:spacing w:after="0"/>
              <w:rPr>
                <w:rFonts w:cs="Arial"/>
                <w:b/>
                <w:bCs/>
                <w:color w:val="000000"/>
                <w:sz w:val="16"/>
                <w:szCs w:val="16"/>
                <w:lang w:eastAsia="en-GB"/>
              </w:rPr>
            </w:pPr>
            <w:r w:rsidRPr="00B91524">
              <w:rPr>
                <w:rFonts w:cs="Arial"/>
                <w:b/>
                <w:bCs/>
                <w:color w:val="000000"/>
                <w:sz w:val="16"/>
                <w:szCs w:val="16"/>
                <w:lang w:eastAsia="en-GB"/>
              </w:rPr>
              <w:t xml:space="preserve">Negligible </w:t>
            </w:r>
            <w:r w:rsidRPr="00B91524">
              <w:rPr>
                <w:rFonts w:cs="Arial"/>
                <w:color w:val="000000"/>
                <w:sz w:val="16"/>
                <w:szCs w:val="16"/>
                <w:lang w:eastAsia="en-GB"/>
              </w:rPr>
              <w:t>impact</w:t>
            </w:r>
          </w:p>
        </w:tc>
      </w:tr>
      <w:tr w:rsidR="000E2DD1" w:rsidRPr="00B91524" w14:paraId="55230125" w14:textId="77777777" w:rsidTr="000E2DD1">
        <w:trPr>
          <w:gridAfter w:val="1"/>
          <w:wAfter w:w="163" w:type="pct"/>
          <w:trHeight w:val="1421"/>
        </w:trPr>
        <w:tc>
          <w:tcPr>
            <w:tcW w:w="1250" w:type="pct"/>
            <w:vMerge w:val="restart"/>
            <w:tcBorders>
              <w:top w:val="nil"/>
              <w:left w:val="single" w:sz="4" w:space="0" w:color="auto"/>
              <w:bottom w:val="single" w:sz="4" w:space="0" w:color="auto"/>
              <w:right w:val="single" w:sz="4" w:space="0" w:color="auto"/>
            </w:tcBorders>
            <w:shd w:val="clear" w:color="000000" w:fill="C4D7F0"/>
            <w:vAlign w:val="center"/>
            <w:hideMark/>
          </w:tcPr>
          <w:p w14:paraId="0AF4B0A2"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Physical disturbance to intertidal habitats and species during landfall works</w:t>
            </w:r>
          </w:p>
        </w:tc>
        <w:tc>
          <w:tcPr>
            <w:tcW w:w="1641" w:type="pct"/>
            <w:vMerge w:val="restart"/>
            <w:tcBorders>
              <w:top w:val="nil"/>
              <w:left w:val="single" w:sz="4" w:space="0" w:color="auto"/>
              <w:bottom w:val="single" w:sz="4" w:space="0" w:color="auto"/>
              <w:right w:val="single" w:sz="4" w:space="0" w:color="auto"/>
            </w:tcBorders>
            <w:shd w:val="clear" w:color="000000" w:fill="C4D7F0"/>
            <w:vAlign w:val="center"/>
            <w:hideMark/>
          </w:tcPr>
          <w:p w14:paraId="6828F7D0"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None</w:t>
            </w:r>
          </w:p>
        </w:tc>
        <w:tc>
          <w:tcPr>
            <w:tcW w:w="1946" w:type="pct"/>
            <w:vMerge w:val="restart"/>
            <w:tcBorders>
              <w:top w:val="nil"/>
              <w:left w:val="single" w:sz="4" w:space="0" w:color="auto"/>
              <w:bottom w:val="single" w:sz="4" w:space="0" w:color="auto"/>
              <w:right w:val="single" w:sz="4" w:space="0" w:color="auto"/>
            </w:tcBorders>
            <w:shd w:val="clear" w:color="000000" w:fill="C4D7F0"/>
            <w:vAlign w:val="center"/>
            <w:hideMark/>
          </w:tcPr>
          <w:p w14:paraId="06B7D2EA" w14:textId="77777777" w:rsidR="000E2DD1" w:rsidRPr="00B91524" w:rsidRDefault="000E2DD1" w:rsidP="000E2DD1">
            <w:pPr>
              <w:spacing w:after="0"/>
              <w:rPr>
                <w:rFonts w:cs="Arial"/>
                <w:b/>
                <w:bCs/>
                <w:color w:val="000000"/>
                <w:sz w:val="16"/>
                <w:szCs w:val="16"/>
                <w:lang w:eastAsia="en-GB"/>
              </w:rPr>
            </w:pPr>
            <w:r w:rsidRPr="00B91524">
              <w:rPr>
                <w:rFonts w:cs="Arial"/>
                <w:b/>
                <w:bCs/>
                <w:color w:val="000000"/>
                <w:sz w:val="16"/>
                <w:szCs w:val="16"/>
                <w:lang w:eastAsia="en-GB"/>
              </w:rPr>
              <w:t xml:space="preserve">Negligible </w:t>
            </w:r>
            <w:r w:rsidRPr="00B91524">
              <w:rPr>
                <w:rFonts w:cs="Arial"/>
                <w:color w:val="000000"/>
                <w:sz w:val="16"/>
                <w:szCs w:val="16"/>
                <w:lang w:eastAsia="en-GB"/>
              </w:rPr>
              <w:t>impact (VERs H and I)</w:t>
            </w:r>
          </w:p>
        </w:tc>
      </w:tr>
      <w:tr w:rsidR="000E2DD1" w:rsidRPr="00B91524" w14:paraId="6AA0E874" w14:textId="77777777" w:rsidTr="000E2DD1">
        <w:trPr>
          <w:trHeight w:val="286"/>
        </w:trPr>
        <w:tc>
          <w:tcPr>
            <w:tcW w:w="1250" w:type="pct"/>
            <w:vMerge/>
            <w:tcBorders>
              <w:top w:val="nil"/>
              <w:left w:val="single" w:sz="4" w:space="0" w:color="auto"/>
              <w:bottom w:val="single" w:sz="4" w:space="0" w:color="auto"/>
              <w:right w:val="single" w:sz="4" w:space="0" w:color="auto"/>
            </w:tcBorders>
            <w:vAlign w:val="center"/>
            <w:hideMark/>
          </w:tcPr>
          <w:p w14:paraId="3AEFD3BD" w14:textId="77777777" w:rsidR="000E2DD1" w:rsidRPr="00B91524" w:rsidRDefault="000E2DD1" w:rsidP="000E2DD1">
            <w:pPr>
              <w:spacing w:after="0"/>
              <w:rPr>
                <w:rFonts w:cs="Arial"/>
                <w:color w:val="000000"/>
                <w:sz w:val="16"/>
                <w:szCs w:val="16"/>
                <w:lang w:eastAsia="en-GB"/>
              </w:rPr>
            </w:pPr>
          </w:p>
        </w:tc>
        <w:tc>
          <w:tcPr>
            <w:tcW w:w="1641" w:type="pct"/>
            <w:vMerge/>
            <w:tcBorders>
              <w:top w:val="nil"/>
              <w:left w:val="single" w:sz="4" w:space="0" w:color="auto"/>
              <w:bottom w:val="single" w:sz="4" w:space="0" w:color="auto"/>
              <w:right w:val="single" w:sz="4" w:space="0" w:color="auto"/>
            </w:tcBorders>
            <w:vAlign w:val="center"/>
            <w:hideMark/>
          </w:tcPr>
          <w:p w14:paraId="1D9AD7B3" w14:textId="77777777" w:rsidR="000E2DD1" w:rsidRPr="00B91524" w:rsidRDefault="000E2DD1" w:rsidP="000E2DD1">
            <w:pPr>
              <w:spacing w:after="0"/>
              <w:rPr>
                <w:rFonts w:cs="Arial"/>
                <w:color w:val="000000"/>
                <w:sz w:val="16"/>
                <w:szCs w:val="16"/>
                <w:lang w:eastAsia="en-GB"/>
              </w:rPr>
            </w:pPr>
          </w:p>
        </w:tc>
        <w:tc>
          <w:tcPr>
            <w:tcW w:w="1946" w:type="pct"/>
            <w:vMerge/>
            <w:tcBorders>
              <w:top w:val="nil"/>
              <w:left w:val="single" w:sz="4" w:space="0" w:color="auto"/>
              <w:bottom w:val="single" w:sz="4" w:space="0" w:color="auto"/>
              <w:right w:val="single" w:sz="4" w:space="0" w:color="auto"/>
            </w:tcBorders>
            <w:vAlign w:val="center"/>
            <w:hideMark/>
          </w:tcPr>
          <w:p w14:paraId="58519FEE" w14:textId="77777777" w:rsidR="000E2DD1" w:rsidRPr="00B91524" w:rsidRDefault="000E2DD1" w:rsidP="000E2DD1">
            <w:pPr>
              <w:spacing w:after="0"/>
              <w:rPr>
                <w:rFonts w:cs="Arial"/>
                <w:b/>
                <w:bCs/>
                <w:color w:val="000000"/>
                <w:sz w:val="16"/>
                <w:szCs w:val="16"/>
                <w:lang w:eastAsia="en-GB"/>
              </w:rPr>
            </w:pPr>
          </w:p>
        </w:tc>
        <w:tc>
          <w:tcPr>
            <w:tcW w:w="163" w:type="pct"/>
            <w:tcBorders>
              <w:top w:val="nil"/>
              <w:left w:val="nil"/>
              <w:bottom w:val="nil"/>
              <w:right w:val="nil"/>
            </w:tcBorders>
            <w:shd w:val="clear" w:color="auto" w:fill="auto"/>
            <w:noWrap/>
            <w:vAlign w:val="bottom"/>
            <w:hideMark/>
          </w:tcPr>
          <w:p w14:paraId="4E714640" w14:textId="77777777" w:rsidR="000E2DD1" w:rsidRPr="00B91524" w:rsidRDefault="000E2DD1" w:rsidP="000E2DD1">
            <w:pPr>
              <w:spacing w:after="0"/>
              <w:rPr>
                <w:rFonts w:cs="Arial"/>
                <w:b/>
                <w:bCs/>
                <w:color w:val="000000"/>
                <w:sz w:val="16"/>
                <w:szCs w:val="16"/>
                <w:lang w:eastAsia="en-GB"/>
              </w:rPr>
            </w:pPr>
          </w:p>
        </w:tc>
      </w:tr>
      <w:tr w:rsidR="000E2DD1" w:rsidRPr="00B91524" w14:paraId="0AB00C9B" w14:textId="77777777" w:rsidTr="000E2DD1">
        <w:trPr>
          <w:trHeight w:val="286"/>
        </w:trPr>
        <w:tc>
          <w:tcPr>
            <w:tcW w:w="1250" w:type="pct"/>
            <w:vMerge w:val="restart"/>
            <w:tcBorders>
              <w:top w:val="nil"/>
              <w:left w:val="single" w:sz="4" w:space="0" w:color="auto"/>
              <w:bottom w:val="single" w:sz="4" w:space="0" w:color="auto"/>
              <w:right w:val="single" w:sz="4" w:space="0" w:color="auto"/>
            </w:tcBorders>
            <w:shd w:val="clear" w:color="000000" w:fill="C4D7F0"/>
            <w:vAlign w:val="center"/>
            <w:hideMark/>
          </w:tcPr>
          <w:p w14:paraId="3A0296DD"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 xml:space="preserve">Potential construction phase impacts on Dogger Bank </w:t>
            </w:r>
            <w:proofErr w:type="spellStart"/>
            <w:r w:rsidRPr="00B91524">
              <w:rPr>
                <w:rFonts w:cs="Arial"/>
                <w:color w:val="000000"/>
                <w:sz w:val="16"/>
                <w:szCs w:val="16"/>
                <w:lang w:eastAsia="en-GB"/>
              </w:rPr>
              <w:t>cSAC</w:t>
            </w:r>
            <w:proofErr w:type="spellEnd"/>
          </w:p>
        </w:tc>
        <w:tc>
          <w:tcPr>
            <w:tcW w:w="1641" w:type="pct"/>
            <w:vMerge w:val="restart"/>
            <w:tcBorders>
              <w:top w:val="nil"/>
              <w:left w:val="single" w:sz="4" w:space="0" w:color="auto"/>
              <w:bottom w:val="single" w:sz="4" w:space="0" w:color="auto"/>
              <w:right w:val="single" w:sz="4" w:space="0" w:color="auto"/>
            </w:tcBorders>
            <w:shd w:val="clear" w:color="000000" w:fill="C4D7F0"/>
            <w:vAlign w:val="center"/>
            <w:hideMark/>
          </w:tcPr>
          <w:p w14:paraId="10626545"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None</w:t>
            </w:r>
          </w:p>
        </w:tc>
        <w:tc>
          <w:tcPr>
            <w:tcW w:w="1946" w:type="pct"/>
            <w:tcBorders>
              <w:top w:val="nil"/>
              <w:left w:val="nil"/>
              <w:bottom w:val="single" w:sz="4" w:space="0" w:color="auto"/>
              <w:right w:val="single" w:sz="4" w:space="0" w:color="auto"/>
            </w:tcBorders>
            <w:shd w:val="clear" w:color="000000" w:fill="C4D7F0"/>
            <w:vAlign w:val="center"/>
            <w:hideMark/>
          </w:tcPr>
          <w:p w14:paraId="29D3B866" w14:textId="77777777" w:rsidR="000E2DD1" w:rsidRPr="00B91524" w:rsidRDefault="000E2DD1" w:rsidP="000E2DD1">
            <w:pPr>
              <w:spacing w:after="0"/>
              <w:rPr>
                <w:rFonts w:cs="Arial"/>
                <w:b/>
                <w:bCs/>
                <w:color w:val="000000"/>
                <w:sz w:val="16"/>
                <w:szCs w:val="16"/>
                <w:lang w:eastAsia="en-GB"/>
              </w:rPr>
            </w:pPr>
            <w:r w:rsidRPr="00B91524">
              <w:rPr>
                <w:rFonts w:cs="Arial"/>
                <w:b/>
                <w:bCs/>
                <w:color w:val="000000"/>
                <w:sz w:val="16"/>
                <w:szCs w:val="16"/>
                <w:lang w:eastAsia="en-GB"/>
              </w:rPr>
              <w:t xml:space="preserve">Negligible </w:t>
            </w:r>
            <w:r w:rsidRPr="00B91524">
              <w:rPr>
                <w:rFonts w:cs="Arial"/>
                <w:color w:val="000000"/>
                <w:sz w:val="16"/>
                <w:szCs w:val="16"/>
                <w:lang w:eastAsia="en-GB"/>
              </w:rPr>
              <w:t>impact (VER A and B)</w:t>
            </w:r>
          </w:p>
        </w:tc>
        <w:tc>
          <w:tcPr>
            <w:tcW w:w="163" w:type="pct"/>
            <w:vAlign w:val="center"/>
            <w:hideMark/>
          </w:tcPr>
          <w:p w14:paraId="3A55DA9A" w14:textId="77777777" w:rsidR="000E2DD1" w:rsidRPr="00B91524" w:rsidRDefault="000E2DD1" w:rsidP="000E2DD1">
            <w:pPr>
              <w:spacing w:after="0"/>
              <w:rPr>
                <w:rFonts w:ascii="Times New Roman" w:hAnsi="Times New Roman"/>
                <w:sz w:val="20"/>
                <w:lang w:eastAsia="en-GB"/>
              </w:rPr>
            </w:pPr>
          </w:p>
        </w:tc>
      </w:tr>
      <w:tr w:rsidR="000E2DD1" w:rsidRPr="00B91524" w14:paraId="571C161D" w14:textId="77777777" w:rsidTr="000E2DD1">
        <w:trPr>
          <w:trHeight w:val="286"/>
        </w:trPr>
        <w:tc>
          <w:tcPr>
            <w:tcW w:w="1250" w:type="pct"/>
            <w:vMerge/>
            <w:tcBorders>
              <w:top w:val="nil"/>
              <w:left w:val="single" w:sz="4" w:space="0" w:color="auto"/>
              <w:bottom w:val="single" w:sz="4" w:space="0" w:color="auto"/>
              <w:right w:val="single" w:sz="4" w:space="0" w:color="auto"/>
            </w:tcBorders>
            <w:vAlign w:val="center"/>
            <w:hideMark/>
          </w:tcPr>
          <w:p w14:paraId="1EE054CD" w14:textId="77777777" w:rsidR="000E2DD1" w:rsidRPr="00B91524" w:rsidRDefault="000E2DD1" w:rsidP="000E2DD1">
            <w:pPr>
              <w:spacing w:after="0"/>
              <w:rPr>
                <w:rFonts w:cs="Arial"/>
                <w:color w:val="000000"/>
                <w:sz w:val="16"/>
                <w:szCs w:val="16"/>
                <w:lang w:eastAsia="en-GB"/>
              </w:rPr>
            </w:pPr>
          </w:p>
        </w:tc>
        <w:tc>
          <w:tcPr>
            <w:tcW w:w="1641" w:type="pct"/>
            <w:vMerge/>
            <w:tcBorders>
              <w:top w:val="nil"/>
              <w:left w:val="single" w:sz="4" w:space="0" w:color="auto"/>
              <w:bottom w:val="single" w:sz="4" w:space="0" w:color="auto"/>
              <w:right w:val="single" w:sz="4" w:space="0" w:color="auto"/>
            </w:tcBorders>
            <w:vAlign w:val="center"/>
            <w:hideMark/>
          </w:tcPr>
          <w:p w14:paraId="1F2202AF" w14:textId="77777777" w:rsidR="000E2DD1" w:rsidRPr="00B91524" w:rsidRDefault="000E2DD1" w:rsidP="000E2DD1">
            <w:pPr>
              <w:spacing w:after="0"/>
              <w:rPr>
                <w:rFonts w:cs="Arial"/>
                <w:color w:val="000000"/>
                <w:sz w:val="16"/>
                <w:szCs w:val="16"/>
                <w:lang w:eastAsia="en-GB"/>
              </w:rPr>
            </w:pPr>
          </w:p>
        </w:tc>
        <w:tc>
          <w:tcPr>
            <w:tcW w:w="1946" w:type="pct"/>
            <w:tcBorders>
              <w:top w:val="nil"/>
              <w:left w:val="nil"/>
              <w:bottom w:val="single" w:sz="4" w:space="0" w:color="auto"/>
              <w:right w:val="single" w:sz="4" w:space="0" w:color="auto"/>
            </w:tcBorders>
            <w:shd w:val="clear" w:color="000000" w:fill="C4D7F0"/>
            <w:vAlign w:val="center"/>
            <w:hideMark/>
          </w:tcPr>
          <w:p w14:paraId="76CDAE9D"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 </w:t>
            </w:r>
          </w:p>
        </w:tc>
        <w:tc>
          <w:tcPr>
            <w:tcW w:w="163" w:type="pct"/>
            <w:vAlign w:val="center"/>
            <w:hideMark/>
          </w:tcPr>
          <w:p w14:paraId="4BB0C255" w14:textId="77777777" w:rsidR="000E2DD1" w:rsidRPr="00B91524" w:rsidRDefault="000E2DD1" w:rsidP="000E2DD1">
            <w:pPr>
              <w:spacing w:after="0"/>
              <w:rPr>
                <w:rFonts w:ascii="Times New Roman" w:hAnsi="Times New Roman"/>
                <w:sz w:val="20"/>
                <w:lang w:eastAsia="en-GB"/>
              </w:rPr>
            </w:pPr>
          </w:p>
        </w:tc>
      </w:tr>
      <w:tr w:rsidR="000E2DD1" w:rsidRPr="00294036" w14:paraId="7EB7CA80" w14:textId="77777777" w:rsidTr="000E2DD1">
        <w:trPr>
          <w:trHeight w:val="286"/>
        </w:trPr>
        <w:tc>
          <w:tcPr>
            <w:tcW w:w="1250" w:type="pct"/>
            <w:vMerge/>
            <w:tcBorders>
              <w:top w:val="nil"/>
              <w:left w:val="single" w:sz="4" w:space="0" w:color="auto"/>
              <w:bottom w:val="single" w:sz="4" w:space="0" w:color="auto"/>
              <w:right w:val="single" w:sz="4" w:space="0" w:color="auto"/>
            </w:tcBorders>
            <w:vAlign w:val="center"/>
            <w:hideMark/>
          </w:tcPr>
          <w:p w14:paraId="6B892B34" w14:textId="77777777" w:rsidR="000E2DD1" w:rsidRPr="00B91524" w:rsidRDefault="000E2DD1" w:rsidP="000E2DD1">
            <w:pPr>
              <w:spacing w:after="0"/>
              <w:rPr>
                <w:rFonts w:cs="Arial"/>
                <w:color w:val="000000"/>
                <w:sz w:val="16"/>
                <w:szCs w:val="16"/>
                <w:lang w:eastAsia="en-GB"/>
              </w:rPr>
            </w:pPr>
          </w:p>
        </w:tc>
        <w:tc>
          <w:tcPr>
            <w:tcW w:w="1641" w:type="pct"/>
            <w:vMerge/>
            <w:tcBorders>
              <w:top w:val="nil"/>
              <w:left w:val="single" w:sz="4" w:space="0" w:color="auto"/>
              <w:bottom w:val="single" w:sz="4" w:space="0" w:color="auto"/>
              <w:right w:val="single" w:sz="4" w:space="0" w:color="auto"/>
            </w:tcBorders>
            <w:vAlign w:val="center"/>
            <w:hideMark/>
          </w:tcPr>
          <w:p w14:paraId="084B4D79" w14:textId="77777777" w:rsidR="000E2DD1" w:rsidRPr="00B91524" w:rsidRDefault="000E2DD1" w:rsidP="000E2DD1">
            <w:pPr>
              <w:spacing w:after="0"/>
              <w:rPr>
                <w:rFonts w:cs="Arial"/>
                <w:color w:val="000000"/>
                <w:sz w:val="16"/>
                <w:szCs w:val="16"/>
                <w:lang w:eastAsia="en-GB"/>
              </w:rPr>
            </w:pPr>
          </w:p>
        </w:tc>
        <w:tc>
          <w:tcPr>
            <w:tcW w:w="1946" w:type="pct"/>
            <w:tcBorders>
              <w:top w:val="nil"/>
              <w:left w:val="nil"/>
              <w:bottom w:val="single" w:sz="4" w:space="0" w:color="auto"/>
              <w:right w:val="single" w:sz="4" w:space="0" w:color="auto"/>
            </w:tcBorders>
            <w:shd w:val="clear" w:color="000000" w:fill="C4D7F0"/>
            <w:vAlign w:val="center"/>
            <w:hideMark/>
          </w:tcPr>
          <w:p w14:paraId="4BE7DDDE" w14:textId="77777777" w:rsidR="000E2DD1" w:rsidRPr="00B91524" w:rsidRDefault="000E2DD1" w:rsidP="000E2DD1">
            <w:pPr>
              <w:spacing w:after="0"/>
              <w:rPr>
                <w:rFonts w:cs="Arial"/>
                <w:b/>
                <w:bCs/>
                <w:color w:val="000000"/>
                <w:sz w:val="16"/>
                <w:szCs w:val="16"/>
                <w:lang w:val="es-ES" w:eastAsia="en-GB"/>
              </w:rPr>
            </w:pPr>
            <w:proofErr w:type="spellStart"/>
            <w:r w:rsidRPr="00B91524">
              <w:rPr>
                <w:rFonts w:cs="Arial"/>
                <w:b/>
                <w:bCs/>
                <w:color w:val="000000"/>
                <w:sz w:val="16"/>
                <w:szCs w:val="16"/>
                <w:lang w:val="es-ES" w:eastAsia="en-GB"/>
              </w:rPr>
              <w:t>Minor</w:t>
            </w:r>
            <w:proofErr w:type="spellEnd"/>
            <w:r w:rsidRPr="00B91524">
              <w:rPr>
                <w:rFonts w:cs="Arial"/>
                <w:b/>
                <w:bCs/>
                <w:color w:val="000000"/>
                <w:sz w:val="16"/>
                <w:szCs w:val="16"/>
                <w:lang w:val="es-ES" w:eastAsia="en-GB"/>
              </w:rPr>
              <w:t xml:space="preserve"> adverse </w:t>
            </w:r>
            <w:proofErr w:type="spellStart"/>
            <w:r w:rsidRPr="00B91524">
              <w:rPr>
                <w:rFonts w:cs="Arial"/>
                <w:color w:val="000000"/>
                <w:sz w:val="16"/>
                <w:szCs w:val="16"/>
                <w:lang w:val="es-ES" w:eastAsia="en-GB"/>
              </w:rPr>
              <w:t>impact</w:t>
            </w:r>
            <w:proofErr w:type="spellEnd"/>
            <w:r w:rsidRPr="00B91524">
              <w:rPr>
                <w:rFonts w:cs="Arial"/>
                <w:color w:val="000000"/>
                <w:sz w:val="16"/>
                <w:szCs w:val="16"/>
                <w:lang w:val="es-ES" w:eastAsia="en-GB"/>
              </w:rPr>
              <w:t xml:space="preserve"> (VER C)</w:t>
            </w:r>
          </w:p>
        </w:tc>
        <w:tc>
          <w:tcPr>
            <w:tcW w:w="163" w:type="pct"/>
            <w:vAlign w:val="center"/>
            <w:hideMark/>
          </w:tcPr>
          <w:p w14:paraId="19376F5C" w14:textId="77777777" w:rsidR="000E2DD1" w:rsidRPr="00B91524" w:rsidRDefault="000E2DD1" w:rsidP="000E2DD1">
            <w:pPr>
              <w:spacing w:after="0"/>
              <w:rPr>
                <w:rFonts w:ascii="Times New Roman" w:hAnsi="Times New Roman"/>
                <w:sz w:val="20"/>
                <w:lang w:val="es-ES" w:eastAsia="en-GB"/>
              </w:rPr>
            </w:pPr>
          </w:p>
        </w:tc>
      </w:tr>
      <w:tr w:rsidR="000E2DD1" w:rsidRPr="00B91524" w14:paraId="1F512C50" w14:textId="77777777" w:rsidTr="000E2DD1">
        <w:trPr>
          <w:trHeight w:val="286"/>
        </w:trPr>
        <w:tc>
          <w:tcPr>
            <w:tcW w:w="4837" w:type="pct"/>
            <w:gridSpan w:val="3"/>
            <w:tcBorders>
              <w:top w:val="single" w:sz="4" w:space="0" w:color="auto"/>
              <w:left w:val="single" w:sz="4" w:space="0" w:color="auto"/>
              <w:bottom w:val="single" w:sz="4" w:space="0" w:color="auto"/>
              <w:right w:val="single" w:sz="4" w:space="0" w:color="auto"/>
            </w:tcBorders>
            <w:shd w:val="clear" w:color="000000" w:fill="C4D7F0"/>
            <w:vAlign w:val="center"/>
            <w:hideMark/>
          </w:tcPr>
          <w:p w14:paraId="6BE08589" w14:textId="77777777" w:rsidR="000E2DD1" w:rsidRPr="00B91524" w:rsidRDefault="000E2DD1" w:rsidP="000E2DD1">
            <w:pPr>
              <w:spacing w:after="0"/>
              <w:rPr>
                <w:rFonts w:cs="Arial"/>
                <w:b/>
                <w:bCs/>
                <w:color w:val="000000"/>
                <w:sz w:val="16"/>
                <w:szCs w:val="16"/>
                <w:lang w:eastAsia="en-GB"/>
              </w:rPr>
            </w:pPr>
            <w:r w:rsidRPr="00B91524">
              <w:rPr>
                <w:rFonts w:cs="Arial"/>
                <w:b/>
                <w:bCs/>
                <w:color w:val="000000"/>
                <w:sz w:val="16"/>
                <w:szCs w:val="16"/>
                <w:lang w:eastAsia="en-GB"/>
              </w:rPr>
              <w:t>Operation</w:t>
            </w:r>
          </w:p>
        </w:tc>
        <w:tc>
          <w:tcPr>
            <w:tcW w:w="163" w:type="pct"/>
            <w:vAlign w:val="center"/>
            <w:hideMark/>
          </w:tcPr>
          <w:p w14:paraId="1F6FCE7C" w14:textId="77777777" w:rsidR="000E2DD1" w:rsidRPr="00B91524" w:rsidRDefault="000E2DD1" w:rsidP="000E2DD1">
            <w:pPr>
              <w:spacing w:after="0"/>
              <w:rPr>
                <w:rFonts w:ascii="Times New Roman" w:hAnsi="Times New Roman"/>
                <w:sz w:val="20"/>
                <w:lang w:eastAsia="en-GB"/>
              </w:rPr>
            </w:pPr>
          </w:p>
        </w:tc>
      </w:tr>
      <w:tr w:rsidR="000E2DD1" w:rsidRPr="00B91524" w14:paraId="3C73B5D8" w14:textId="77777777" w:rsidTr="000E2DD1">
        <w:trPr>
          <w:trHeight w:val="1192"/>
        </w:trPr>
        <w:tc>
          <w:tcPr>
            <w:tcW w:w="1250" w:type="pct"/>
            <w:vMerge w:val="restart"/>
            <w:tcBorders>
              <w:top w:val="nil"/>
              <w:left w:val="single" w:sz="4" w:space="0" w:color="auto"/>
              <w:bottom w:val="single" w:sz="4" w:space="0" w:color="auto"/>
              <w:right w:val="single" w:sz="4" w:space="0" w:color="auto"/>
            </w:tcBorders>
            <w:shd w:val="clear" w:color="000000" w:fill="C4D7F0"/>
            <w:vAlign w:val="center"/>
            <w:hideMark/>
          </w:tcPr>
          <w:p w14:paraId="081DB48F"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Permanent loss of habitat via placement of project infrastructure (foundations, cable protection, scour protection)</w:t>
            </w:r>
          </w:p>
        </w:tc>
        <w:tc>
          <w:tcPr>
            <w:tcW w:w="1641" w:type="pct"/>
            <w:vMerge w:val="restart"/>
            <w:tcBorders>
              <w:top w:val="nil"/>
              <w:left w:val="single" w:sz="4" w:space="0" w:color="auto"/>
              <w:bottom w:val="single" w:sz="4" w:space="0" w:color="auto"/>
              <w:right w:val="single" w:sz="4" w:space="0" w:color="auto"/>
            </w:tcBorders>
            <w:shd w:val="clear" w:color="000000" w:fill="C4D7F0"/>
            <w:vAlign w:val="center"/>
            <w:hideMark/>
          </w:tcPr>
          <w:p w14:paraId="76A48DF7"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None</w:t>
            </w:r>
          </w:p>
        </w:tc>
        <w:tc>
          <w:tcPr>
            <w:tcW w:w="1946" w:type="pct"/>
            <w:tcBorders>
              <w:top w:val="nil"/>
              <w:left w:val="nil"/>
              <w:bottom w:val="single" w:sz="4" w:space="0" w:color="auto"/>
              <w:right w:val="single" w:sz="4" w:space="0" w:color="auto"/>
            </w:tcBorders>
            <w:shd w:val="clear" w:color="000000" w:fill="C4D7F0"/>
            <w:vAlign w:val="center"/>
            <w:hideMark/>
          </w:tcPr>
          <w:p w14:paraId="21E72987" w14:textId="77777777" w:rsidR="000E2DD1" w:rsidRPr="00B91524" w:rsidRDefault="000E2DD1" w:rsidP="000E2DD1">
            <w:pPr>
              <w:spacing w:after="0"/>
              <w:rPr>
                <w:rFonts w:cs="Arial"/>
                <w:b/>
                <w:bCs/>
                <w:color w:val="000000"/>
                <w:sz w:val="16"/>
                <w:szCs w:val="16"/>
                <w:lang w:eastAsia="en-GB"/>
              </w:rPr>
            </w:pPr>
            <w:r w:rsidRPr="00B91524">
              <w:rPr>
                <w:rFonts w:cs="Arial"/>
                <w:b/>
                <w:bCs/>
                <w:color w:val="000000"/>
                <w:sz w:val="16"/>
                <w:szCs w:val="16"/>
                <w:lang w:eastAsia="en-GB"/>
              </w:rPr>
              <w:t xml:space="preserve">Negligible </w:t>
            </w:r>
            <w:r w:rsidRPr="00B91524">
              <w:rPr>
                <w:rFonts w:cs="Arial"/>
                <w:color w:val="000000"/>
                <w:sz w:val="16"/>
                <w:szCs w:val="16"/>
                <w:lang w:eastAsia="en-GB"/>
              </w:rPr>
              <w:t>impact on VERs D, E, F, G, H and I</w:t>
            </w:r>
          </w:p>
        </w:tc>
        <w:tc>
          <w:tcPr>
            <w:tcW w:w="163" w:type="pct"/>
            <w:vAlign w:val="center"/>
            <w:hideMark/>
          </w:tcPr>
          <w:p w14:paraId="3C30EFFE" w14:textId="77777777" w:rsidR="000E2DD1" w:rsidRPr="00B91524" w:rsidRDefault="000E2DD1" w:rsidP="000E2DD1">
            <w:pPr>
              <w:spacing w:after="0"/>
              <w:rPr>
                <w:rFonts w:ascii="Times New Roman" w:hAnsi="Times New Roman"/>
                <w:sz w:val="20"/>
                <w:lang w:eastAsia="en-GB"/>
              </w:rPr>
            </w:pPr>
          </w:p>
        </w:tc>
      </w:tr>
      <w:tr w:rsidR="000E2DD1" w:rsidRPr="00B91524" w14:paraId="4B59FB14" w14:textId="77777777" w:rsidTr="000E2DD1">
        <w:trPr>
          <w:trHeight w:val="286"/>
        </w:trPr>
        <w:tc>
          <w:tcPr>
            <w:tcW w:w="1250" w:type="pct"/>
            <w:vMerge/>
            <w:tcBorders>
              <w:top w:val="nil"/>
              <w:left w:val="single" w:sz="4" w:space="0" w:color="auto"/>
              <w:bottom w:val="single" w:sz="4" w:space="0" w:color="auto"/>
              <w:right w:val="single" w:sz="4" w:space="0" w:color="auto"/>
            </w:tcBorders>
            <w:vAlign w:val="center"/>
            <w:hideMark/>
          </w:tcPr>
          <w:p w14:paraId="3E13FFC1" w14:textId="77777777" w:rsidR="000E2DD1" w:rsidRPr="00B91524" w:rsidRDefault="000E2DD1" w:rsidP="000E2DD1">
            <w:pPr>
              <w:spacing w:after="0"/>
              <w:rPr>
                <w:rFonts w:cs="Arial"/>
                <w:color w:val="000000"/>
                <w:sz w:val="16"/>
                <w:szCs w:val="16"/>
                <w:lang w:eastAsia="en-GB"/>
              </w:rPr>
            </w:pPr>
          </w:p>
        </w:tc>
        <w:tc>
          <w:tcPr>
            <w:tcW w:w="1641" w:type="pct"/>
            <w:vMerge/>
            <w:tcBorders>
              <w:top w:val="nil"/>
              <w:left w:val="single" w:sz="4" w:space="0" w:color="auto"/>
              <w:bottom w:val="single" w:sz="4" w:space="0" w:color="auto"/>
              <w:right w:val="single" w:sz="4" w:space="0" w:color="auto"/>
            </w:tcBorders>
            <w:vAlign w:val="center"/>
            <w:hideMark/>
          </w:tcPr>
          <w:p w14:paraId="20475240" w14:textId="77777777" w:rsidR="000E2DD1" w:rsidRPr="00B91524" w:rsidRDefault="000E2DD1" w:rsidP="000E2DD1">
            <w:pPr>
              <w:spacing w:after="0"/>
              <w:rPr>
                <w:rFonts w:cs="Arial"/>
                <w:color w:val="000000"/>
                <w:sz w:val="16"/>
                <w:szCs w:val="16"/>
                <w:lang w:eastAsia="en-GB"/>
              </w:rPr>
            </w:pPr>
          </w:p>
        </w:tc>
        <w:tc>
          <w:tcPr>
            <w:tcW w:w="1946" w:type="pct"/>
            <w:tcBorders>
              <w:top w:val="nil"/>
              <w:left w:val="nil"/>
              <w:bottom w:val="single" w:sz="4" w:space="0" w:color="auto"/>
              <w:right w:val="single" w:sz="4" w:space="0" w:color="auto"/>
            </w:tcBorders>
            <w:shd w:val="clear" w:color="000000" w:fill="C4D7F0"/>
            <w:vAlign w:val="center"/>
            <w:hideMark/>
          </w:tcPr>
          <w:p w14:paraId="6B2B317F"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 </w:t>
            </w:r>
          </w:p>
        </w:tc>
        <w:tc>
          <w:tcPr>
            <w:tcW w:w="163" w:type="pct"/>
            <w:vAlign w:val="center"/>
            <w:hideMark/>
          </w:tcPr>
          <w:p w14:paraId="7316C394" w14:textId="77777777" w:rsidR="000E2DD1" w:rsidRPr="00B91524" w:rsidRDefault="000E2DD1" w:rsidP="000E2DD1">
            <w:pPr>
              <w:spacing w:after="0"/>
              <w:rPr>
                <w:rFonts w:ascii="Times New Roman" w:hAnsi="Times New Roman"/>
                <w:sz w:val="20"/>
                <w:lang w:eastAsia="en-GB"/>
              </w:rPr>
            </w:pPr>
          </w:p>
        </w:tc>
      </w:tr>
      <w:tr w:rsidR="000E2DD1" w:rsidRPr="00B91524" w14:paraId="45CF0651" w14:textId="77777777" w:rsidTr="000E2DD1">
        <w:trPr>
          <w:trHeight w:val="430"/>
        </w:trPr>
        <w:tc>
          <w:tcPr>
            <w:tcW w:w="1250" w:type="pct"/>
            <w:vMerge/>
            <w:tcBorders>
              <w:top w:val="nil"/>
              <w:left w:val="single" w:sz="4" w:space="0" w:color="auto"/>
              <w:bottom w:val="single" w:sz="4" w:space="0" w:color="auto"/>
              <w:right w:val="single" w:sz="4" w:space="0" w:color="auto"/>
            </w:tcBorders>
            <w:vAlign w:val="center"/>
            <w:hideMark/>
          </w:tcPr>
          <w:p w14:paraId="560200E9" w14:textId="77777777" w:rsidR="000E2DD1" w:rsidRPr="00B91524" w:rsidRDefault="000E2DD1" w:rsidP="000E2DD1">
            <w:pPr>
              <w:spacing w:after="0"/>
              <w:rPr>
                <w:rFonts w:cs="Arial"/>
                <w:color w:val="000000"/>
                <w:sz w:val="16"/>
                <w:szCs w:val="16"/>
                <w:lang w:eastAsia="en-GB"/>
              </w:rPr>
            </w:pPr>
          </w:p>
        </w:tc>
        <w:tc>
          <w:tcPr>
            <w:tcW w:w="1641" w:type="pct"/>
            <w:vMerge/>
            <w:tcBorders>
              <w:top w:val="nil"/>
              <w:left w:val="single" w:sz="4" w:space="0" w:color="auto"/>
              <w:bottom w:val="single" w:sz="4" w:space="0" w:color="auto"/>
              <w:right w:val="single" w:sz="4" w:space="0" w:color="auto"/>
            </w:tcBorders>
            <w:vAlign w:val="center"/>
            <w:hideMark/>
          </w:tcPr>
          <w:p w14:paraId="25E9D1E6" w14:textId="77777777" w:rsidR="000E2DD1" w:rsidRPr="00B91524" w:rsidRDefault="000E2DD1" w:rsidP="000E2DD1">
            <w:pPr>
              <w:spacing w:after="0"/>
              <w:rPr>
                <w:rFonts w:cs="Arial"/>
                <w:color w:val="000000"/>
                <w:sz w:val="16"/>
                <w:szCs w:val="16"/>
                <w:lang w:eastAsia="en-GB"/>
              </w:rPr>
            </w:pPr>
          </w:p>
        </w:tc>
        <w:tc>
          <w:tcPr>
            <w:tcW w:w="1946" w:type="pct"/>
            <w:tcBorders>
              <w:top w:val="nil"/>
              <w:left w:val="nil"/>
              <w:bottom w:val="single" w:sz="4" w:space="0" w:color="auto"/>
              <w:right w:val="single" w:sz="4" w:space="0" w:color="auto"/>
            </w:tcBorders>
            <w:shd w:val="clear" w:color="000000" w:fill="C4D7F0"/>
            <w:vAlign w:val="center"/>
            <w:hideMark/>
          </w:tcPr>
          <w:p w14:paraId="16262392" w14:textId="77777777" w:rsidR="000E2DD1" w:rsidRPr="00B91524" w:rsidRDefault="000E2DD1" w:rsidP="000E2DD1">
            <w:pPr>
              <w:spacing w:after="0"/>
              <w:rPr>
                <w:rFonts w:cs="Arial"/>
                <w:b/>
                <w:bCs/>
                <w:color w:val="000000"/>
                <w:sz w:val="16"/>
                <w:szCs w:val="16"/>
                <w:lang w:eastAsia="en-GB"/>
              </w:rPr>
            </w:pPr>
            <w:r w:rsidRPr="00B91524">
              <w:rPr>
                <w:rFonts w:cs="Arial"/>
                <w:b/>
                <w:bCs/>
                <w:color w:val="000000"/>
                <w:sz w:val="16"/>
                <w:szCs w:val="16"/>
                <w:lang w:eastAsia="en-GB"/>
              </w:rPr>
              <w:t xml:space="preserve">Minor adverse </w:t>
            </w:r>
            <w:r w:rsidRPr="00B91524">
              <w:rPr>
                <w:rFonts w:cs="Arial"/>
                <w:color w:val="000000"/>
                <w:sz w:val="16"/>
                <w:szCs w:val="16"/>
                <w:lang w:eastAsia="en-GB"/>
              </w:rPr>
              <w:t>impact on VERs A, B and C</w:t>
            </w:r>
          </w:p>
        </w:tc>
        <w:tc>
          <w:tcPr>
            <w:tcW w:w="163" w:type="pct"/>
            <w:vAlign w:val="center"/>
            <w:hideMark/>
          </w:tcPr>
          <w:p w14:paraId="502F68A9" w14:textId="77777777" w:rsidR="000E2DD1" w:rsidRPr="00B91524" w:rsidRDefault="000E2DD1" w:rsidP="000E2DD1">
            <w:pPr>
              <w:spacing w:after="0"/>
              <w:rPr>
                <w:rFonts w:ascii="Times New Roman" w:hAnsi="Times New Roman"/>
                <w:sz w:val="20"/>
                <w:lang w:eastAsia="en-GB"/>
              </w:rPr>
            </w:pPr>
          </w:p>
        </w:tc>
      </w:tr>
      <w:tr w:rsidR="000E2DD1" w:rsidRPr="00B91524" w14:paraId="5FE8A438" w14:textId="77777777" w:rsidTr="000E2DD1">
        <w:trPr>
          <w:trHeight w:val="1637"/>
        </w:trPr>
        <w:tc>
          <w:tcPr>
            <w:tcW w:w="1250" w:type="pct"/>
            <w:vMerge w:val="restart"/>
            <w:tcBorders>
              <w:top w:val="nil"/>
              <w:left w:val="single" w:sz="4" w:space="0" w:color="auto"/>
              <w:bottom w:val="single" w:sz="4" w:space="0" w:color="auto"/>
              <w:right w:val="single" w:sz="4" w:space="0" w:color="auto"/>
            </w:tcBorders>
            <w:shd w:val="clear" w:color="000000" w:fill="C4D7F0"/>
            <w:vAlign w:val="center"/>
            <w:hideMark/>
          </w:tcPr>
          <w:p w14:paraId="323232FC"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lastRenderedPageBreak/>
              <w:t>Temporary impact on benthos due to physical disturbance caused by maintenance activities</w:t>
            </w:r>
          </w:p>
        </w:tc>
        <w:tc>
          <w:tcPr>
            <w:tcW w:w="1641" w:type="pct"/>
            <w:vMerge w:val="restart"/>
            <w:tcBorders>
              <w:top w:val="nil"/>
              <w:left w:val="single" w:sz="4" w:space="0" w:color="auto"/>
              <w:bottom w:val="single" w:sz="4" w:space="0" w:color="auto"/>
              <w:right w:val="single" w:sz="4" w:space="0" w:color="auto"/>
            </w:tcBorders>
            <w:shd w:val="clear" w:color="000000" w:fill="C4D7F0"/>
            <w:vAlign w:val="center"/>
            <w:hideMark/>
          </w:tcPr>
          <w:p w14:paraId="4ADAB40E"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None</w:t>
            </w:r>
          </w:p>
        </w:tc>
        <w:tc>
          <w:tcPr>
            <w:tcW w:w="1946" w:type="pct"/>
            <w:vMerge w:val="restart"/>
            <w:tcBorders>
              <w:top w:val="nil"/>
              <w:left w:val="single" w:sz="4" w:space="0" w:color="auto"/>
              <w:bottom w:val="single" w:sz="4" w:space="0" w:color="auto"/>
              <w:right w:val="single" w:sz="4" w:space="0" w:color="auto"/>
            </w:tcBorders>
            <w:shd w:val="clear" w:color="000000" w:fill="C4D7F0"/>
            <w:vAlign w:val="center"/>
            <w:hideMark/>
          </w:tcPr>
          <w:p w14:paraId="433A5401" w14:textId="77777777" w:rsidR="000E2DD1" w:rsidRPr="00B91524" w:rsidRDefault="000E2DD1" w:rsidP="000E2DD1">
            <w:pPr>
              <w:spacing w:after="0"/>
              <w:rPr>
                <w:rFonts w:cs="Arial"/>
                <w:b/>
                <w:bCs/>
                <w:color w:val="000000"/>
                <w:sz w:val="16"/>
                <w:szCs w:val="16"/>
                <w:lang w:eastAsia="en-GB"/>
              </w:rPr>
            </w:pPr>
            <w:r w:rsidRPr="00B91524">
              <w:rPr>
                <w:rFonts w:cs="Arial"/>
                <w:b/>
                <w:bCs/>
                <w:color w:val="000000"/>
                <w:sz w:val="16"/>
                <w:szCs w:val="16"/>
                <w:lang w:eastAsia="en-GB"/>
              </w:rPr>
              <w:t xml:space="preserve">Negligible </w:t>
            </w:r>
            <w:r w:rsidRPr="00B91524">
              <w:rPr>
                <w:rFonts w:cs="Arial"/>
                <w:color w:val="000000"/>
                <w:sz w:val="16"/>
                <w:szCs w:val="16"/>
                <w:lang w:eastAsia="en-GB"/>
              </w:rPr>
              <w:t>impact</w:t>
            </w:r>
          </w:p>
        </w:tc>
        <w:tc>
          <w:tcPr>
            <w:tcW w:w="163" w:type="pct"/>
            <w:vAlign w:val="center"/>
            <w:hideMark/>
          </w:tcPr>
          <w:p w14:paraId="2FB578D1" w14:textId="77777777" w:rsidR="000E2DD1" w:rsidRPr="00B91524" w:rsidRDefault="000E2DD1" w:rsidP="000E2DD1">
            <w:pPr>
              <w:spacing w:after="0"/>
              <w:rPr>
                <w:rFonts w:ascii="Times New Roman" w:hAnsi="Times New Roman"/>
                <w:sz w:val="20"/>
                <w:lang w:eastAsia="en-GB"/>
              </w:rPr>
            </w:pPr>
          </w:p>
        </w:tc>
      </w:tr>
      <w:tr w:rsidR="000E2DD1" w:rsidRPr="00B91524" w14:paraId="5AA919D8" w14:textId="77777777" w:rsidTr="000E2DD1">
        <w:trPr>
          <w:trHeight w:val="286"/>
        </w:trPr>
        <w:tc>
          <w:tcPr>
            <w:tcW w:w="1250" w:type="pct"/>
            <w:vMerge/>
            <w:tcBorders>
              <w:top w:val="nil"/>
              <w:left w:val="single" w:sz="4" w:space="0" w:color="auto"/>
              <w:bottom w:val="single" w:sz="4" w:space="0" w:color="auto"/>
              <w:right w:val="single" w:sz="4" w:space="0" w:color="auto"/>
            </w:tcBorders>
            <w:vAlign w:val="center"/>
            <w:hideMark/>
          </w:tcPr>
          <w:p w14:paraId="7AF0DE51" w14:textId="77777777" w:rsidR="000E2DD1" w:rsidRPr="00B91524" w:rsidRDefault="000E2DD1" w:rsidP="000E2DD1">
            <w:pPr>
              <w:spacing w:after="0"/>
              <w:rPr>
                <w:rFonts w:cs="Arial"/>
                <w:color w:val="000000"/>
                <w:sz w:val="16"/>
                <w:szCs w:val="16"/>
                <w:lang w:eastAsia="en-GB"/>
              </w:rPr>
            </w:pPr>
          </w:p>
        </w:tc>
        <w:tc>
          <w:tcPr>
            <w:tcW w:w="1641" w:type="pct"/>
            <w:vMerge/>
            <w:tcBorders>
              <w:top w:val="nil"/>
              <w:left w:val="single" w:sz="4" w:space="0" w:color="auto"/>
              <w:bottom w:val="single" w:sz="4" w:space="0" w:color="auto"/>
              <w:right w:val="single" w:sz="4" w:space="0" w:color="auto"/>
            </w:tcBorders>
            <w:vAlign w:val="center"/>
            <w:hideMark/>
          </w:tcPr>
          <w:p w14:paraId="058DD1CD" w14:textId="77777777" w:rsidR="000E2DD1" w:rsidRPr="00B91524" w:rsidRDefault="000E2DD1" w:rsidP="000E2DD1">
            <w:pPr>
              <w:spacing w:after="0"/>
              <w:rPr>
                <w:rFonts w:cs="Arial"/>
                <w:color w:val="000000"/>
                <w:sz w:val="16"/>
                <w:szCs w:val="16"/>
                <w:lang w:eastAsia="en-GB"/>
              </w:rPr>
            </w:pPr>
          </w:p>
        </w:tc>
        <w:tc>
          <w:tcPr>
            <w:tcW w:w="1946" w:type="pct"/>
            <w:vMerge/>
            <w:tcBorders>
              <w:top w:val="nil"/>
              <w:left w:val="single" w:sz="4" w:space="0" w:color="auto"/>
              <w:bottom w:val="single" w:sz="4" w:space="0" w:color="auto"/>
              <w:right w:val="single" w:sz="4" w:space="0" w:color="auto"/>
            </w:tcBorders>
            <w:vAlign w:val="center"/>
            <w:hideMark/>
          </w:tcPr>
          <w:p w14:paraId="2CB64911" w14:textId="77777777" w:rsidR="000E2DD1" w:rsidRPr="00B91524" w:rsidRDefault="000E2DD1" w:rsidP="000E2DD1">
            <w:pPr>
              <w:spacing w:after="0"/>
              <w:rPr>
                <w:rFonts w:cs="Arial"/>
                <w:b/>
                <w:bCs/>
                <w:color w:val="000000"/>
                <w:sz w:val="16"/>
                <w:szCs w:val="16"/>
                <w:lang w:eastAsia="en-GB"/>
              </w:rPr>
            </w:pPr>
          </w:p>
        </w:tc>
        <w:tc>
          <w:tcPr>
            <w:tcW w:w="163" w:type="pct"/>
            <w:tcBorders>
              <w:top w:val="nil"/>
              <w:left w:val="nil"/>
              <w:bottom w:val="nil"/>
              <w:right w:val="nil"/>
            </w:tcBorders>
            <w:shd w:val="clear" w:color="auto" w:fill="auto"/>
            <w:noWrap/>
            <w:vAlign w:val="bottom"/>
            <w:hideMark/>
          </w:tcPr>
          <w:p w14:paraId="681DCF5D" w14:textId="77777777" w:rsidR="000E2DD1" w:rsidRPr="00B91524" w:rsidRDefault="000E2DD1" w:rsidP="000E2DD1">
            <w:pPr>
              <w:spacing w:after="0"/>
              <w:rPr>
                <w:rFonts w:cs="Arial"/>
                <w:b/>
                <w:bCs/>
                <w:color w:val="000000"/>
                <w:sz w:val="16"/>
                <w:szCs w:val="16"/>
                <w:lang w:eastAsia="en-GB"/>
              </w:rPr>
            </w:pPr>
          </w:p>
        </w:tc>
      </w:tr>
      <w:tr w:rsidR="000E2DD1" w:rsidRPr="00B91524" w14:paraId="05DD42A5" w14:textId="77777777" w:rsidTr="000E2DD1">
        <w:trPr>
          <w:trHeight w:val="861"/>
        </w:trPr>
        <w:tc>
          <w:tcPr>
            <w:tcW w:w="1250" w:type="pct"/>
            <w:tcBorders>
              <w:top w:val="nil"/>
              <w:left w:val="single" w:sz="4" w:space="0" w:color="auto"/>
              <w:bottom w:val="single" w:sz="4" w:space="0" w:color="auto"/>
              <w:right w:val="single" w:sz="4" w:space="0" w:color="auto"/>
            </w:tcBorders>
            <w:shd w:val="clear" w:color="000000" w:fill="C4D7F0"/>
            <w:vAlign w:val="center"/>
            <w:hideMark/>
          </w:tcPr>
          <w:p w14:paraId="2451655D"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Change in hydrodynamics and inter-related effects on benthos</w:t>
            </w:r>
          </w:p>
        </w:tc>
        <w:tc>
          <w:tcPr>
            <w:tcW w:w="1641" w:type="pct"/>
            <w:tcBorders>
              <w:top w:val="nil"/>
              <w:left w:val="nil"/>
              <w:bottom w:val="single" w:sz="4" w:space="0" w:color="auto"/>
              <w:right w:val="single" w:sz="4" w:space="0" w:color="auto"/>
            </w:tcBorders>
            <w:shd w:val="clear" w:color="000000" w:fill="C4D7F0"/>
            <w:vAlign w:val="center"/>
            <w:hideMark/>
          </w:tcPr>
          <w:p w14:paraId="61AA57DB"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None</w:t>
            </w:r>
          </w:p>
        </w:tc>
        <w:tc>
          <w:tcPr>
            <w:tcW w:w="1946" w:type="pct"/>
            <w:tcBorders>
              <w:top w:val="nil"/>
              <w:left w:val="nil"/>
              <w:bottom w:val="single" w:sz="4" w:space="0" w:color="auto"/>
              <w:right w:val="single" w:sz="4" w:space="0" w:color="auto"/>
            </w:tcBorders>
            <w:shd w:val="clear" w:color="000000" w:fill="C4D7F0"/>
            <w:vAlign w:val="center"/>
            <w:hideMark/>
          </w:tcPr>
          <w:p w14:paraId="5EF959CD" w14:textId="77777777" w:rsidR="000E2DD1" w:rsidRPr="00B91524" w:rsidRDefault="000E2DD1" w:rsidP="000E2DD1">
            <w:pPr>
              <w:spacing w:after="0"/>
              <w:rPr>
                <w:rFonts w:cs="Arial"/>
                <w:b/>
                <w:bCs/>
                <w:color w:val="000000"/>
                <w:sz w:val="16"/>
                <w:szCs w:val="16"/>
                <w:lang w:eastAsia="en-GB"/>
              </w:rPr>
            </w:pPr>
            <w:r w:rsidRPr="00B91524">
              <w:rPr>
                <w:rFonts w:cs="Arial"/>
                <w:b/>
                <w:bCs/>
                <w:color w:val="000000"/>
                <w:sz w:val="16"/>
                <w:szCs w:val="16"/>
                <w:lang w:eastAsia="en-GB"/>
              </w:rPr>
              <w:t xml:space="preserve">Negligible </w:t>
            </w:r>
            <w:r w:rsidRPr="00B91524">
              <w:rPr>
                <w:rFonts w:cs="Arial"/>
                <w:color w:val="000000"/>
                <w:sz w:val="16"/>
                <w:szCs w:val="16"/>
                <w:lang w:eastAsia="en-GB"/>
              </w:rPr>
              <w:t>impact</w:t>
            </w:r>
          </w:p>
        </w:tc>
        <w:tc>
          <w:tcPr>
            <w:tcW w:w="163" w:type="pct"/>
            <w:vAlign w:val="center"/>
            <w:hideMark/>
          </w:tcPr>
          <w:p w14:paraId="1EF7073C" w14:textId="77777777" w:rsidR="000E2DD1" w:rsidRPr="00B91524" w:rsidRDefault="000E2DD1" w:rsidP="000E2DD1">
            <w:pPr>
              <w:spacing w:after="0"/>
              <w:rPr>
                <w:rFonts w:ascii="Times New Roman" w:hAnsi="Times New Roman"/>
                <w:sz w:val="20"/>
                <w:lang w:eastAsia="en-GB"/>
              </w:rPr>
            </w:pPr>
          </w:p>
        </w:tc>
      </w:tr>
      <w:tr w:rsidR="000E2DD1" w:rsidRPr="00B91524" w14:paraId="0AF860DC" w14:textId="77777777" w:rsidTr="000E2DD1">
        <w:trPr>
          <w:trHeight w:val="430"/>
        </w:trPr>
        <w:tc>
          <w:tcPr>
            <w:tcW w:w="1250" w:type="pct"/>
            <w:vMerge w:val="restart"/>
            <w:tcBorders>
              <w:top w:val="nil"/>
              <w:left w:val="single" w:sz="4" w:space="0" w:color="auto"/>
              <w:bottom w:val="single" w:sz="4" w:space="0" w:color="auto"/>
              <w:right w:val="single" w:sz="4" w:space="0" w:color="auto"/>
            </w:tcBorders>
            <w:shd w:val="clear" w:color="000000" w:fill="C4D7F0"/>
            <w:vAlign w:val="center"/>
            <w:hideMark/>
          </w:tcPr>
          <w:p w14:paraId="1452701D"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Increase in suspended sediment concentration due to scour associated with foundations</w:t>
            </w:r>
          </w:p>
        </w:tc>
        <w:tc>
          <w:tcPr>
            <w:tcW w:w="1641" w:type="pct"/>
            <w:vMerge w:val="restart"/>
            <w:tcBorders>
              <w:top w:val="nil"/>
              <w:left w:val="single" w:sz="4" w:space="0" w:color="auto"/>
              <w:bottom w:val="single" w:sz="4" w:space="0" w:color="auto"/>
              <w:right w:val="single" w:sz="4" w:space="0" w:color="auto"/>
            </w:tcBorders>
            <w:shd w:val="clear" w:color="000000" w:fill="C4D7F0"/>
            <w:vAlign w:val="center"/>
            <w:hideMark/>
          </w:tcPr>
          <w:p w14:paraId="39A3B68B"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None</w:t>
            </w:r>
          </w:p>
        </w:tc>
        <w:tc>
          <w:tcPr>
            <w:tcW w:w="1946" w:type="pct"/>
            <w:tcBorders>
              <w:top w:val="nil"/>
              <w:left w:val="nil"/>
              <w:bottom w:val="single" w:sz="4" w:space="0" w:color="auto"/>
              <w:right w:val="single" w:sz="4" w:space="0" w:color="auto"/>
            </w:tcBorders>
            <w:shd w:val="clear" w:color="000000" w:fill="C4D7F0"/>
            <w:vAlign w:val="center"/>
            <w:hideMark/>
          </w:tcPr>
          <w:p w14:paraId="589EBA34" w14:textId="77777777" w:rsidR="000E2DD1" w:rsidRPr="00B91524" w:rsidRDefault="000E2DD1" w:rsidP="000E2DD1">
            <w:pPr>
              <w:spacing w:after="0"/>
              <w:rPr>
                <w:rFonts w:cs="Arial"/>
                <w:b/>
                <w:bCs/>
                <w:color w:val="000000"/>
                <w:sz w:val="16"/>
                <w:szCs w:val="16"/>
                <w:lang w:eastAsia="en-GB"/>
              </w:rPr>
            </w:pPr>
            <w:r w:rsidRPr="00B91524">
              <w:rPr>
                <w:rFonts w:cs="Arial"/>
                <w:b/>
                <w:bCs/>
                <w:color w:val="000000"/>
                <w:sz w:val="16"/>
                <w:szCs w:val="16"/>
                <w:lang w:eastAsia="en-GB"/>
              </w:rPr>
              <w:t xml:space="preserve">Negligible </w:t>
            </w:r>
            <w:r w:rsidRPr="00B91524">
              <w:rPr>
                <w:rFonts w:cs="Arial"/>
                <w:color w:val="000000"/>
                <w:sz w:val="16"/>
                <w:szCs w:val="16"/>
                <w:lang w:eastAsia="en-GB"/>
              </w:rPr>
              <w:t>impact for all VERs apart from VER C</w:t>
            </w:r>
          </w:p>
        </w:tc>
        <w:tc>
          <w:tcPr>
            <w:tcW w:w="163" w:type="pct"/>
            <w:vAlign w:val="center"/>
            <w:hideMark/>
          </w:tcPr>
          <w:p w14:paraId="5C5A3036" w14:textId="77777777" w:rsidR="000E2DD1" w:rsidRPr="00B91524" w:rsidRDefault="000E2DD1" w:rsidP="000E2DD1">
            <w:pPr>
              <w:spacing w:after="0"/>
              <w:rPr>
                <w:rFonts w:ascii="Times New Roman" w:hAnsi="Times New Roman"/>
                <w:sz w:val="20"/>
                <w:lang w:eastAsia="en-GB"/>
              </w:rPr>
            </w:pPr>
          </w:p>
        </w:tc>
      </w:tr>
      <w:tr w:rsidR="000E2DD1" w:rsidRPr="00B91524" w14:paraId="0A7A6CF7" w14:textId="77777777" w:rsidTr="000E2DD1">
        <w:trPr>
          <w:trHeight w:val="286"/>
        </w:trPr>
        <w:tc>
          <w:tcPr>
            <w:tcW w:w="1250" w:type="pct"/>
            <w:vMerge/>
            <w:tcBorders>
              <w:top w:val="nil"/>
              <w:left w:val="single" w:sz="4" w:space="0" w:color="auto"/>
              <w:bottom w:val="single" w:sz="4" w:space="0" w:color="auto"/>
              <w:right w:val="single" w:sz="4" w:space="0" w:color="auto"/>
            </w:tcBorders>
            <w:vAlign w:val="center"/>
            <w:hideMark/>
          </w:tcPr>
          <w:p w14:paraId="75A89835" w14:textId="77777777" w:rsidR="000E2DD1" w:rsidRPr="00B91524" w:rsidRDefault="000E2DD1" w:rsidP="000E2DD1">
            <w:pPr>
              <w:spacing w:after="0"/>
              <w:rPr>
                <w:rFonts w:cs="Arial"/>
                <w:color w:val="000000"/>
                <w:sz w:val="16"/>
                <w:szCs w:val="16"/>
                <w:lang w:eastAsia="en-GB"/>
              </w:rPr>
            </w:pPr>
          </w:p>
        </w:tc>
        <w:tc>
          <w:tcPr>
            <w:tcW w:w="1641" w:type="pct"/>
            <w:vMerge/>
            <w:tcBorders>
              <w:top w:val="nil"/>
              <w:left w:val="single" w:sz="4" w:space="0" w:color="auto"/>
              <w:bottom w:val="single" w:sz="4" w:space="0" w:color="auto"/>
              <w:right w:val="single" w:sz="4" w:space="0" w:color="auto"/>
            </w:tcBorders>
            <w:vAlign w:val="center"/>
            <w:hideMark/>
          </w:tcPr>
          <w:p w14:paraId="5FE4239C" w14:textId="77777777" w:rsidR="000E2DD1" w:rsidRPr="00B91524" w:rsidRDefault="000E2DD1" w:rsidP="000E2DD1">
            <w:pPr>
              <w:spacing w:after="0"/>
              <w:rPr>
                <w:rFonts w:cs="Arial"/>
                <w:color w:val="000000"/>
                <w:sz w:val="16"/>
                <w:szCs w:val="16"/>
                <w:lang w:eastAsia="en-GB"/>
              </w:rPr>
            </w:pPr>
          </w:p>
        </w:tc>
        <w:tc>
          <w:tcPr>
            <w:tcW w:w="1946" w:type="pct"/>
            <w:tcBorders>
              <w:top w:val="nil"/>
              <w:left w:val="nil"/>
              <w:bottom w:val="single" w:sz="4" w:space="0" w:color="auto"/>
              <w:right w:val="single" w:sz="4" w:space="0" w:color="auto"/>
            </w:tcBorders>
            <w:shd w:val="clear" w:color="000000" w:fill="C4D7F0"/>
            <w:vAlign w:val="center"/>
            <w:hideMark/>
          </w:tcPr>
          <w:p w14:paraId="4E370956"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 </w:t>
            </w:r>
          </w:p>
        </w:tc>
        <w:tc>
          <w:tcPr>
            <w:tcW w:w="163" w:type="pct"/>
            <w:vAlign w:val="center"/>
            <w:hideMark/>
          </w:tcPr>
          <w:p w14:paraId="306E1723" w14:textId="77777777" w:rsidR="000E2DD1" w:rsidRPr="00B91524" w:rsidRDefault="000E2DD1" w:rsidP="000E2DD1">
            <w:pPr>
              <w:spacing w:after="0"/>
              <w:rPr>
                <w:rFonts w:ascii="Times New Roman" w:hAnsi="Times New Roman"/>
                <w:sz w:val="20"/>
                <w:lang w:eastAsia="en-GB"/>
              </w:rPr>
            </w:pPr>
          </w:p>
        </w:tc>
      </w:tr>
      <w:tr w:rsidR="000E2DD1" w:rsidRPr="00B91524" w14:paraId="32F237C6" w14:textId="77777777" w:rsidTr="000E2DD1">
        <w:trPr>
          <w:trHeight w:val="286"/>
        </w:trPr>
        <w:tc>
          <w:tcPr>
            <w:tcW w:w="1250" w:type="pct"/>
            <w:vMerge/>
            <w:tcBorders>
              <w:top w:val="nil"/>
              <w:left w:val="single" w:sz="4" w:space="0" w:color="auto"/>
              <w:bottom w:val="single" w:sz="4" w:space="0" w:color="auto"/>
              <w:right w:val="single" w:sz="4" w:space="0" w:color="auto"/>
            </w:tcBorders>
            <w:vAlign w:val="center"/>
            <w:hideMark/>
          </w:tcPr>
          <w:p w14:paraId="15B2EBA4" w14:textId="77777777" w:rsidR="000E2DD1" w:rsidRPr="00B91524" w:rsidRDefault="000E2DD1" w:rsidP="000E2DD1">
            <w:pPr>
              <w:spacing w:after="0"/>
              <w:rPr>
                <w:rFonts w:cs="Arial"/>
                <w:color w:val="000000"/>
                <w:sz w:val="16"/>
                <w:szCs w:val="16"/>
                <w:lang w:eastAsia="en-GB"/>
              </w:rPr>
            </w:pPr>
          </w:p>
        </w:tc>
        <w:tc>
          <w:tcPr>
            <w:tcW w:w="1641" w:type="pct"/>
            <w:vMerge/>
            <w:tcBorders>
              <w:top w:val="nil"/>
              <w:left w:val="single" w:sz="4" w:space="0" w:color="auto"/>
              <w:bottom w:val="single" w:sz="4" w:space="0" w:color="auto"/>
              <w:right w:val="single" w:sz="4" w:space="0" w:color="auto"/>
            </w:tcBorders>
            <w:vAlign w:val="center"/>
            <w:hideMark/>
          </w:tcPr>
          <w:p w14:paraId="0C06B6FE" w14:textId="77777777" w:rsidR="000E2DD1" w:rsidRPr="00B91524" w:rsidRDefault="000E2DD1" w:rsidP="000E2DD1">
            <w:pPr>
              <w:spacing w:after="0"/>
              <w:rPr>
                <w:rFonts w:cs="Arial"/>
                <w:color w:val="000000"/>
                <w:sz w:val="16"/>
                <w:szCs w:val="16"/>
                <w:lang w:eastAsia="en-GB"/>
              </w:rPr>
            </w:pPr>
          </w:p>
        </w:tc>
        <w:tc>
          <w:tcPr>
            <w:tcW w:w="1946" w:type="pct"/>
            <w:tcBorders>
              <w:top w:val="nil"/>
              <w:left w:val="nil"/>
              <w:bottom w:val="single" w:sz="4" w:space="0" w:color="auto"/>
              <w:right w:val="single" w:sz="4" w:space="0" w:color="auto"/>
            </w:tcBorders>
            <w:shd w:val="clear" w:color="000000" w:fill="C4D7F0"/>
            <w:vAlign w:val="center"/>
            <w:hideMark/>
          </w:tcPr>
          <w:p w14:paraId="78A6DB87" w14:textId="77777777" w:rsidR="000E2DD1" w:rsidRPr="00B91524" w:rsidRDefault="000E2DD1" w:rsidP="000E2DD1">
            <w:pPr>
              <w:spacing w:after="0"/>
              <w:rPr>
                <w:rFonts w:cs="Arial"/>
                <w:b/>
                <w:bCs/>
                <w:color w:val="000000"/>
                <w:sz w:val="16"/>
                <w:szCs w:val="16"/>
                <w:lang w:eastAsia="en-GB"/>
              </w:rPr>
            </w:pPr>
            <w:r w:rsidRPr="00B91524">
              <w:rPr>
                <w:rFonts w:cs="Arial"/>
                <w:b/>
                <w:bCs/>
                <w:color w:val="000000"/>
                <w:sz w:val="16"/>
                <w:szCs w:val="16"/>
                <w:lang w:eastAsia="en-GB"/>
              </w:rPr>
              <w:t xml:space="preserve">Minor adverse </w:t>
            </w:r>
            <w:r w:rsidRPr="00B91524">
              <w:rPr>
                <w:rFonts w:cs="Arial"/>
                <w:color w:val="000000"/>
                <w:sz w:val="16"/>
                <w:szCs w:val="16"/>
                <w:lang w:eastAsia="en-GB"/>
              </w:rPr>
              <w:t>impact for VER C</w:t>
            </w:r>
          </w:p>
        </w:tc>
        <w:tc>
          <w:tcPr>
            <w:tcW w:w="163" w:type="pct"/>
            <w:vAlign w:val="center"/>
            <w:hideMark/>
          </w:tcPr>
          <w:p w14:paraId="3440BF28" w14:textId="77777777" w:rsidR="000E2DD1" w:rsidRPr="00B91524" w:rsidRDefault="000E2DD1" w:rsidP="000E2DD1">
            <w:pPr>
              <w:spacing w:after="0"/>
              <w:rPr>
                <w:rFonts w:ascii="Times New Roman" w:hAnsi="Times New Roman"/>
                <w:sz w:val="20"/>
                <w:lang w:eastAsia="en-GB"/>
              </w:rPr>
            </w:pPr>
          </w:p>
        </w:tc>
      </w:tr>
      <w:tr w:rsidR="000E2DD1" w:rsidRPr="00B91524" w14:paraId="519C2472" w14:textId="77777777" w:rsidTr="000E2DD1">
        <w:trPr>
          <w:trHeight w:val="1508"/>
        </w:trPr>
        <w:tc>
          <w:tcPr>
            <w:tcW w:w="1250" w:type="pct"/>
            <w:tcBorders>
              <w:top w:val="nil"/>
              <w:left w:val="single" w:sz="4" w:space="0" w:color="auto"/>
              <w:bottom w:val="single" w:sz="4" w:space="0" w:color="auto"/>
              <w:right w:val="single" w:sz="4" w:space="0" w:color="auto"/>
            </w:tcBorders>
            <w:shd w:val="clear" w:color="000000" w:fill="C4D7F0"/>
            <w:vAlign w:val="center"/>
            <w:hideMark/>
          </w:tcPr>
          <w:p w14:paraId="11528365" w14:textId="77777777" w:rsidR="000E2DD1" w:rsidRPr="00B91524" w:rsidRDefault="000E2DD1" w:rsidP="000E2DD1">
            <w:pPr>
              <w:spacing w:after="0"/>
              <w:jc w:val="both"/>
              <w:rPr>
                <w:rFonts w:cs="Arial"/>
                <w:color w:val="000000"/>
                <w:sz w:val="16"/>
                <w:szCs w:val="16"/>
                <w:lang w:eastAsia="en-GB"/>
              </w:rPr>
            </w:pPr>
            <w:r w:rsidRPr="00B91524">
              <w:rPr>
                <w:rFonts w:cs="Arial"/>
                <w:color w:val="000000"/>
                <w:sz w:val="16"/>
                <w:szCs w:val="16"/>
                <w:lang w:eastAsia="en-GB"/>
              </w:rPr>
              <w:t>Increase in sediment deposition following increase in suspended sediment concentration due to scour associated with foundations</w:t>
            </w:r>
          </w:p>
        </w:tc>
        <w:tc>
          <w:tcPr>
            <w:tcW w:w="1641" w:type="pct"/>
            <w:tcBorders>
              <w:top w:val="nil"/>
              <w:left w:val="nil"/>
              <w:bottom w:val="single" w:sz="4" w:space="0" w:color="auto"/>
              <w:right w:val="single" w:sz="4" w:space="0" w:color="auto"/>
            </w:tcBorders>
            <w:shd w:val="clear" w:color="000000" w:fill="C4D7F0"/>
            <w:vAlign w:val="center"/>
            <w:hideMark/>
          </w:tcPr>
          <w:p w14:paraId="258772B7"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None</w:t>
            </w:r>
          </w:p>
        </w:tc>
        <w:tc>
          <w:tcPr>
            <w:tcW w:w="1946" w:type="pct"/>
            <w:tcBorders>
              <w:top w:val="nil"/>
              <w:left w:val="nil"/>
              <w:bottom w:val="single" w:sz="4" w:space="0" w:color="auto"/>
              <w:right w:val="single" w:sz="4" w:space="0" w:color="auto"/>
            </w:tcBorders>
            <w:shd w:val="clear" w:color="000000" w:fill="C4D7F0"/>
            <w:vAlign w:val="center"/>
            <w:hideMark/>
          </w:tcPr>
          <w:p w14:paraId="584892B9" w14:textId="77777777" w:rsidR="000E2DD1" w:rsidRPr="00B91524" w:rsidRDefault="000E2DD1" w:rsidP="000E2DD1">
            <w:pPr>
              <w:spacing w:after="0"/>
              <w:rPr>
                <w:rFonts w:cs="Arial"/>
                <w:b/>
                <w:bCs/>
                <w:color w:val="000000"/>
                <w:sz w:val="16"/>
                <w:szCs w:val="16"/>
                <w:lang w:eastAsia="en-GB"/>
              </w:rPr>
            </w:pPr>
            <w:r w:rsidRPr="00B91524">
              <w:rPr>
                <w:rFonts w:cs="Arial"/>
                <w:b/>
                <w:bCs/>
                <w:color w:val="000000"/>
                <w:sz w:val="16"/>
                <w:szCs w:val="16"/>
                <w:lang w:eastAsia="en-GB"/>
              </w:rPr>
              <w:t xml:space="preserve">Negligible </w:t>
            </w:r>
            <w:r w:rsidRPr="00B91524">
              <w:rPr>
                <w:rFonts w:cs="Arial"/>
                <w:color w:val="000000"/>
                <w:sz w:val="16"/>
                <w:szCs w:val="16"/>
                <w:lang w:eastAsia="en-GB"/>
              </w:rPr>
              <w:t>impact</w:t>
            </w:r>
          </w:p>
        </w:tc>
        <w:tc>
          <w:tcPr>
            <w:tcW w:w="163" w:type="pct"/>
            <w:vAlign w:val="center"/>
            <w:hideMark/>
          </w:tcPr>
          <w:p w14:paraId="73319E8B" w14:textId="77777777" w:rsidR="000E2DD1" w:rsidRPr="00B91524" w:rsidRDefault="000E2DD1" w:rsidP="000E2DD1">
            <w:pPr>
              <w:spacing w:after="0"/>
              <w:rPr>
                <w:rFonts w:ascii="Times New Roman" w:hAnsi="Times New Roman"/>
                <w:sz w:val="20"/>
                <w:lang w:eastAsia="en-GB"/>
              </w:rPr>
            </w:pPr>
          </w:p>
        </w:tc>
      </w:tr>
      <w:tr w:rsidR="000E2DD1" w:rsidRPr="00B91524" w14:paraId="69EEA406" w14:textId="77777777" w:rsidTr="000E2DD1">
        <w:trPr>
          <w:trHeight w:val="1853"/>
        </w:trPr>
        <w:tc>
          <w:tcPr>
            <w:tcW w:w="1250" w:type="pct"/>
            <w:vMerge w:val="restart"/>
            <w:tcBorders>
              <w:top w:val="nil"/>
              <w:left w:val="single" w:sz="4" w:space="0" w:color="auto"/>
              <w:bottom w:val="single" w:sz="4" w:space="0" w:color="auto"/>
              <w:right w:val="single" w:sz="4" w:space="0" w:color="auto"/>
            </w:tcBorders>
            <w:shd w:val="clear" w:color="000000" w:fill="C4D7F0"/>
            <w:vAlign w:val="center"/>
            <w:hideMark/>
          </w:tcPr>
          <w:p w14:paraId="6E2EFD42"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Introduction of new habitat in the form of foundation structures, leading to potential colonisation.</w:t>
            </w:r>
          </w:p>
        </w:tc>
        <w:tc>
          <w:tcPr>
            <w:tcW w:w="1641" w:type="pct"/>
            <w:vMerge w:val="restart"/>
            <w:tcBorders>
              <w:top w:val="nil"/>
              <w:left w:val="single" w:sz="4" w:space="0" w:color="auto"/>
              <w:bottom w:val="single" w:sz="4" w:space="0" w:color="auto"/>
              <w:right w:val="single" w:sz="4" w:space="0" w:color="auto"/>
            </w:tcBorders>
            <w:shd w:val="clear" w:color="000000" w:fill="C4D7F0"/>
            <w:vAlign w:val="center"/>
            <w:hideMark/>
          </w:tcPr>
          <w:p w14:paraId="1BB6B0A2"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None</w:t>
            </w:r>
          </w:p>
        </w:tc>
        <w:tc>
          <w:tcPr>
            <w:tcW w:w="1946" w:type="pct"/>
            <w:vMerge w:val="restart"/>
            <w:tcBorders>
              <w:top w:val="nil"/>
              <w:left w:val="single" w:sz="4" w:space="0" w:color="auto"/>
              <w:bottom w:val="single" w:sz="4" w:space="0" w:color="auto"/>
              <w:right w:val="single" w:sz="4" w:space="0" w:color="auto"/>
            </w:tcBorders>
            <w:shd w:val="clear" w:color="000000" w:fill="C4D7F0"/>
            <w:vAlign w:val="center"/>
            <w:hideMark/>
          </w:tcPr>
          <w:p w14:paraId="4AA300CE" w14:textId="77777777" w:rsidR="000E2DD1" w:rsidRPr="00B91524" w:rsidRDefault="000E2DD1" w:rsidP="000E2DD1">
            <w:pPr>
              <w:spacing w:after="0"/>
              <w:rPr>
                <w:rFonts w:cs="Arial"/>
                <w:b/>
                <w:bCs/>
                <w:color w:val="000000"/>
                <w:sz w:val="16"/>
                <w:szCs w:val="16"/>
                <w:lang w:eastAsia="en-GB"/>
              </w:rPr>
            </w:pPr>
            <w:r w:rsidRPr="00B91524">
              <w:rPr>
                <w:rFonts w:cs="Arial"/>
                <w:b/>
                <w:bCs/>
                <w:color w:val="000000"/>
                <w:sz w:val="16"/>
                <w:szCs w:val="16"/>
                <w:lang w:eastAsia="en-GB"/>
              </w:rPr>
              <w:t xml:space="preserve">Negligible </w:t>
            </w:r>
            <w:r w:rsidRPr="00B91524">
              <w:rPr>
                <w:rFonts w:cs="Arial"/>
                <w:color w:val="000000"/>
                <w:sz w:val="16"/>
                <w:szCs w:val="16"/>
                <w:lang w:eastAsia="en-GB"/>
              </w:rPr>
              <w:t>impact</w:t>
            </w:r>
          </w:p>
        </w:tc>
        <w:tc>
          <w:tcPr>
            <w:tcW w:w="163" w:type="pct"/>
            <w:vAlign w:val="center"/>
            <w:hideMark/>
          </w:tcPr>
          <w:p w14:paraId="6A62C363" w14:textId="77777777" w:rsidR="000E2DD1" w:rsidRPr="00B91524" w:rsidRDefault="000E2DD1" w:rsidP="000E2DD1">
            <w:pPr>
              <w:spacing w:after="0"/>
              <w:rPr>
                <w:rFonts w:ascii="Times New Roman" w:hAnsi="Times New Roman"/>
                <w:sz w:val="20"/>
                <w:lang w:eastAsia="en-GB"/>
              </w:rPr>
            </w:pPr>
          </w:p>
        </w:tc>
      </w:tr>
      <w:tr w:rsidR="000E2DD1" w:rsidRPr="00B91524" w14:paraId="576E6F86" w14:textId="77777777" w:rsidTr="000E2DD1">
        <w:trPr>
          <w:trHeight w:val="286"/>
        </w:trPr>
        <w:tc>
          <w:tcPr>
            <w:tcW w:w="1250" w:type="pct"/>
            <w:vMerge/>
            <w:tcBorders>
              <w:top w:val="nil"/>
              <w:left w:val="single" w:sz="4" w:space="0" w:color="auto"/>
              <w:bottom w:val="single" w:sz="4" w:space="0" w:color="auto"/>
              <w:right w:val="single" w:sz="4" w:space="0" w:color="auto"/>
            </w:tcBorders>
            <w:vAlign w:val="center"/>
            <w:hideMark/>
          </w:tcPr>
          <w:p w14:paraId="03176C13" w14:textId="77777777" w:rsidR="000E2DD1" w:rsidRPr="00B91524" w:rsidRDefault="000E2DD1" w:rsidP="000E2DD1">
            <w:pPr>
              <w:spacing w:after="0"/>
              <w:rPr>
                <w:rFonts w:cs="Arial"/>
                <w:color w:val="000000"/>
                <w:sz w:val="16"/>
                <w:szCs w:val="16"/>
                <w:lang w:eastAsia="en-GB"/>
              </w:rPr>
            </w:pPr>
          </w:p>
        </w:tc>
        <w:tc>
          <w:tcPr>
            <w:tcW w:w="1641" w:type="pct"/>
            <w:vMerge/>
            <w:tcBorders>
              <w:top w:val="nil"/>
              <w:left w:val="single" w:sz="4" w:space="0" w:color="auto"/>
              <w:bottom w:val="single" w:sz="4" w:space="0" w:color="auto"/>
              <w:right w:val="single" w:sz="4" w:space="0" w:color="auto"/>
            </w:tcBorders>
            <w:vAlign w:val="center"/>
            <w:hideMark/>
          </w:tcPr>
          <w:p w14:paraId="3499CBFA" w14:textId="77777777" w:rsidR="000E2DD1" w:rsidRPr="00B91524" w:rsidRDefault="000E2DD1" w:rsidP="000E2DD1">
            <w:pPr>
              <w:spacing w:after="0"/>
              <w:rPr>
                <w:rFonts w:cs="Arial"/>
                <w:color w:val="000000"/>
                <w:sz w:val="16"/>
                <w:szCs w:val="16"/>
                <w:lang w:eastAsia="en-GB"/>
              </w:rPr>
            </w:pPr>
          </w:p>
        </w:tc>
        <w:tc>
          <w:tcPr>
            <w:tcW w:w="1946" w:type="pct"/>
            <w:vMerge/>
            <w:tcBorders>
              <w:top w:val="nil"/>
              <w:left w:val="single" w:sz="4" w:space="0" w:color="auto"/>
              <w:bottom w:val="single" w:sz="4" w:space="0" w:color="auto"/>
              <w:right w:val="single" w:sz="4" w:space="0" w:color="auto"/>
            </w:tcBorders>
            <w:vAlign w:val="center"/>
            <w:hideMark/>
          </w:tcPr>
          <w:p w14:paraId="0B32FCB5" w14:textId="77777777" w:rsidR="000E2DD1" w:rsidRPr="00B91524" w:rsidRDefault="000E2DD1" w:rsidP="000E2DD1">
            <w:pPr>
              <w:spacing w:after="0"/>
              <w:rPr>
                <w:rFonts w:cs="Arial"/>
                <w:b/>
                <w:bCs/>
                <w:color w:val="000000"/>
                <w:sz w:val="16"/>
                <w:szCs w:val="16"/>
                <w:lang w:eastAsia="en-GB"/>
              </w:rPr>
            </w:pPr>
          </w:p>
        </w:tc>
        <w:tc>
          <w:tcPr>
            <w:tcW w:w="163" w:type="pct"/>
            <w:tcBorders>
              <w:top w:val="nil"/>
              <w:left w:val="nil"/>
              <w:bottom w:val="nil"/>
              <w:right w:val="nil"/>
            </w:tcBorders>
            <w:shd w:val="clear" w:color="auto" w:fill="auto"/>
            <w:noWrap/>
            <w:vAlign w:val="bottom"/>
            <w:hideMark/>
          </w:tcPr>
          <w:p w14:paraId="3E156FCA" w14:textId="77777777" w:rsidR="000E2DD1" w:rsidRPr="00B91524" w:rsidRDefault="000E2DD1" w:rsidP="000E2DD1">
            <w:pPr>
              <w:spacing w:after="0"/>
              <w:rPr>
                <w:rFonts w:cs="Arial"/>
                <w:b/>
                <w:bCs/>
                <w:color w:val="000000"/>
                <w:sz w:val="16"/>
                <w:szCs w:val="16"/>
                <w:lang w:eastAsia="en-GB"/>
              </w:rPr>
            </w:pPr>
          </w:p>
        </w:tc>
      </w:tr>
      <w:tr w:rsidR="000E2DD1" w:rsidRPr="00B91524" w14:paraId="57DA2724" w14:textId="77777777" w:rsidTr="000E2DD1">
        <w:trPr>
          <w:trHeight w:val="430"/>
        </w:trPr>
        <w:tc>
          <w:tcPr>
            <w:tcW w:w="1250" w:type="pct"/>
            <w:tcBorders>
              <w:top w:val="nil"/>
              <w:left w:val="single" w:sz="4" w:space="0" w:color="auto"/>
              <w:bottom w:val="single" w:sz="4" w:space="0" w:color="auto"/>
              <w:right w:val="single" w:sz="4" w:space="0" w:color="auto"/>
            </w:tcBorders>
            <w:shd w:val="clear" w:color="000000" w:fill="C4D7F0"/>
            <w:vAlign w:val="center"/>
            <w:hideMark/>
          </w:tcPr>
          <w:p w14:paraId="42B94B09"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Effect of EMF on benthic communities</w:t>
            </w:r>
          </w:p>
        </w:tc>
        <w:tc>
          <w:tcPr>
            <w:tcW w:w="1641" w:type="pct"/>
            <w:tcBorders>
              <w:top w:val="nil"/>
              <w:left w:val="nil"/>
              <w:bottom w:val="single" w:sz="4" w:space="0" w:color="auto"/>
              <w:right w:val="single" w:sz="4" w:space="0" w:color="auto"/>
            </w:tcBorders>
            <w:shd w:val="clear" w:color="000000" w:fill="C4D7F0"/>
            <w:vAlign w:val="center"/>
            <w:hideMark/>
          </w:tcPr>
          <w:p w14:paraId="59806C90"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Where feasible cables will be buried to at least 1m</w:t>
            </w:r>
          </w:p>
        </w:tc>
        <w:tc>
          <w:tcPr>
            <w:tcW w:w="1946" w:type="pct"/>
            <w:tcBorders>
              <w:top w:val="nil"/>
              <w:left w:val="nil"/>
              <w:bottom w:val="single" w:sz="4" w:space="0" w:color="auto"/>
              <w:right w:val="single" w:sz="4" w:space="0" w:color="auto"/>
            </w:tcBorders>
            <w:shd w:val="clear" w:color="000000" w:fill="C4D7F0"/>
            <w:vAlign w:val="center"/>
            <w:hideMark/>
          </w:tcPr>
          <w:p w14:paraId="2ED1B76A" w14:textId="77777777" w:rsidR="000E2DD1" w:rsidRPr="00B91524" w:rsidRDefault="000E2DD1" w:rsidP="000E2DD1">
            <w:pPr>
              <w:spacing w:after="0"/>
              <w:rPr>
                <w:rFonts w:cs="Arial"/>
                <w:b/>
                <w:bCs/>
                <w:color w:val="000000"/>
                <w:sz w:val="16"/>
                <w:szCs w:val="16"/>
                <w:lang w:eastAsia="en-GB"/>
              </w:rPr>
            </w:pPr>
            <w:r w:rsidRPr="00B91524">
              <w:rPr>
                <w:rFonts w:cs="Arial"/>
                <w:b/>
                <w:bCs/>
                <w:color w:val="000000"/>
                <w:sz w:val="16"/>
                <w:szCs w:val="16"/>
                <w:lang w:eastAsia="en-GB"/>
              </w:rPr>
              <w:t xml:space="preserve">Negligible </w:t>
            </w:r>
            <w:r w:rsidRPr="00B91524">
              <w:rPr>
                <w:rFonts w:cs="Arial"/>
                <w:color w:val="000000"/>
                <w:sz w:val="16"/>
                <w:szCs w:val="16"/>
                <w:lang w:eastAsia="en-GB"/>
              </w:rPr>
              <w:t>impact on all VERs</w:t>
            </w:r>
          </w:p>
        </w:tc>
        <w:tc>
          <w:tcPr>
            <w:tcW w:w="163" w:type="pct"/>
            <w:vAlign w:val="center"/>
            <w:hideMark/>
          </w:tcPr>
          <w:p w14:paraId="3E7634F3" w14:textId="77777777" w:rsidR="000E2DD1" w:rsidRPr="00B91524" w:rsidRDefault="000E2DD1" w:rsidP="000E2DD1">
            <w:pPr>
              <w:spacing w:after="0"/>
              <w:rPr>
                <w:rFonts w:ascii="Times New Roman" w:hAnsi="Times New Roman"/>
                <w:sz w:val="20"/>
                <w:lang w:eastAsia="en-GB"/>
              </w:rPr>
            </w:pPr>
          </w:p>
        </w:tc>
      </w:tr>
      <w:tr w:rsidR="000E2DD1" w:rsidRPr="00B91524" w14:paraId="1CFBBAFF" w14:textId="77777777" w:rsidTr="000E2DD1">
        <w:trPr>
          <w:trHeight w:val="286"/>
        </w:trPr>
        <w:tc>
          <w:tcPr>
            <w:tcW w:w="1250" w:type="pct"/>
            <w:vMerge w:val="restart"/>
            <w:tcBorders>
              <w:top w:val="nil"/>
              <w:left w:val="single" w:sz="4" w:space="0" w:color="auto"/>
              <w:bottom w:val="single" w:sz="4" w:space="0" w:color="auto"/>
              <w:right w:val="single" w:sz="4" w:space="0" w:color="auto"/>
            </w:tcBorders>
            <w:shd w:val="clear" w:color="000000" w:fill="C4D7F0"/>
            <w:vAlign w:val="center"/>
            <w:hideMark/>
          </w:tcPr>
          <w:p w14:paraId="671C7A40"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 xml:space="preserve">Potential operational phase impacts on Dogger Bank </w:t>
            </w:r>
            <w:proofErr w:type="spellStart"/>
            <w:r w:rsidRPr="00B91524">
              <w:rPr>
                <w:rFonts w:cs="Arial"/>
                <w:color w:val="000000"/>
                <w:sz w:val="16"/>
                <w:szCs w:val="16"/>
                <w:lang w:eastAsia="en-GB"/>
              </w:rPr>
              <w:t>cSAC</w:t>
            </w:r>
            <w:proofErr w:type="spellEnd"/>
          </w:p>
        </w:tc>
        <w:tc>
          <w:tcPr>
            <w:tcW w:w="1641" w:type="pct"/>
            <w:vMerge w:val="restart"/>
            <w:tcBorders>
              <w:top w:val="nil"/>
              <w:left w:val="single" w:sz="4" w:space="0" w:color="auto"/>
              <w:bottom w:val="single" w:sz="4" w:space="0" w:color="auto"/>
              <w:right w:val="single" w:sz="4" w:space="0" w:color="auto"/>
            </w:tcBorders>
            <w:shd w:val="clear" w:color="000000" w:fill="C4D7F0"/>
            <w:vAlign w:val="center"/>
            <w:hideMark/>
          </w:tcPr>
          <w:p w14:paraId="4A8AD1D9"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None</w:t>
            </w:r>
          </w:p>
        </w:tc>
        <w:tc>
          <w:tcPr>
            <w:tcW w:w="1946" w:type="pct"/>
            <w:tcBorders>
              <w:top w:val="nil"/>
              <w:left w:val="nil"/>
              <w:bottom w:val="single" w:sz="4" w:space="0" w:color="auto"/>
              <w:right w:val="single" w:sz="4" w:space="0" w:color="auto"/>
            </w:tcBorders>
            <w:shd w:val="clear" w:color="000000" w:fill="C4D7F0"/>
            <w:vAlign w:val="center"/>
            <w:hideMark/>
          </w:tcPr>
          <w:p w14:paraId="4AA1618D" w14:textId="77777777" w:rsidR="000E2DD1" w:rsidRPr="00B91524" w:rsidRDefault="000E2DD1" w:rsidP="000E2DD1">
            <w:pPr>
              <w:spacing w:after="0"/>
              <w:rPr>
                <w:rFonts w:cs="Arial"/>
                <w:b/>
                <w:bCs/>
                <w:color w:val="000000"/>
                <w:sz w:val="16"/>
                <w:szCs w:val="16"/>
                <w:lang w:eastAsia="en-GB"/>
              </w:rPr>
            </w:pPr>
            <w:r w:rsidRPr="00B91524">
              <w:rPr>
                <w:rFonts w:cs="Arial"/>
                <w:b/>
                <w:bCs/>
                <w:color w:val="000000"/>
                <w:sz w:val="16"/>
                <w:szCs w:val="16"/>
                <w:lang w:eastAsia="en-GB"/>
              </w:rPr>
              <w:t xml:space="preserve">Negligible </w:t>
            </w:r>
            <w:r w:rsidRPr="00B91524">
              <w:rPr>
                <w:rFonts w:cs="Arial"/>
                <w:color w:val="000000"/>
                <w:sz w:val="16"/>
                <w:szCs w:val="16"/>
                <w:lang w:eastAsia="en-GB"/>
              </w:rPr>
              <w:t>impact (VER A and B)</w:t>
            </w:r>
          </w:p>
        </w:tc>
        <w:tc>
          <w:tcPr>
            <w:tcW w:w="163" w:type="pct"/>
            <w:vAlign w:val="center"/>
            <w:hideMark/>
          </w:tcPr>
          <w:p w14:paraId="2C283165" w14:textId="77777777" w:rsidR="000E2DD1" w:rsidRPr="00B91524" w:rsidRDefault="000E2DD1" w:rsidP="000E2DD1">
            <w:pPr>
              <w:spacing w:after="0"/>
              <w:rPr>
                <w:rFonts w:ascii="Times New Roman" w:hAnsi="Times New Roman"/>
                <w:sz w:val="20"/>
                <w:lang w:eastAsia="en-GB"/>
              </w:rPr>
            </w:pPr>
          </w:p>
        </w:tc>
      </w:tr>
      <w:tr w:rsidR="000E2DD1" w:rsidRPr="00B91524" w14:paraId="418E9B3B" w14:textId="77777777" w:rsidTr="000E2DD1">
        <w:trPr>
          <w:trHeight w:val="286"/>
        </w:trPr>
        <w:tc>
          <w:tcPr>
            <w:tcW w:w="1250" w:type="pct"/>
            <w:vMerge/>
            <w:tcBorders>
              <w:top w:val="nil"/>
              <w:left w:val="single" w:sz="4" w:space="0" w:color="auto"/>
              <w:bottom w:val="single" w:sz="4" w:space="0" w:color="auto"/>
              <w:right w:val="single" w:sz="4" w:space="0" w:color="auto"/>
            </w:tcBorders>
            <w:vAlign w:val="center"/>
            <w:hideMark/>
          </w:tcPr>
          <w:p w14:paraId="0041912C" w14:textId="77777777" w:rsidR="000E2DD1" w:rsidRPr="00B91524" w:rsidRDefault="000E2DD1" w:rsidP="000E2DD1">
            <w:pPr>
              <w:spacing w:after="0"/>
              <w:rPr>
                <w:rFonts w:cs="Arial"/>
                <w:color w:val="000000"/>
                <w:sz w:val="16"/>
                <w:szCs w:val="16"/>
                <w:lang w:eastAsia="en-GB"/>
              </w:rPr>
            </w:pPr>
          </w:p>
        </w:tc>
        <w:tc>
          <w:tcPr>
            <w:tcW w:w="1641" w:type="pct"/>
            <w:vMerge/>
            <w:tcBorders>
              <w:top w:val="nil"/>
              <w:left w:val="single" w:sz="4" w:space="0" w:color="auto"/>
              <w:bottom w:val="single" w:sz="4" w:space="0" w:color="auto"/>
              <w:right w:val="single" w:sz="4" w:space="0" w:color="auto"/>
            </w:tcBorders>
            <w:vAlign w:val="center"/>
            <w:hideMark/>
          </w:tcPr>
          <w:p w14:paraId="6E6AF1DD" w14:textId="77777777" w:rsidR="000E2DD1" w:rsidRPr="00B91524" w:rsidRDefault="000E2DD1" w:rsidP="000E2DD1">
            <w:pPr>
              <w:spacing w:after="0"/>
              <w:rPr>
                <w:rFonts w:cs="Arial"/>
                <w:color w:val="000000"/>
                <w:sz w:val="16"/>
                <w:szCs w:val="16"/>
                <w:lang w:eastAsia="en-GB"/>
              </w:rPr>
            </w:pPr>
          </w:p>
        </w:tc>
        <w:tc>
          <w:tcPr>
            <w:tcW w:w="1946" w:type="pct"/>
            <w:tcBorders>
              <w:top w:val="nil"/>
              <w:left w:val="nil"/>
              <w:bottom w:val="single" w:sz="4" w:space="0" w:color="auto"/>
              <w:right w:val="single" w:sz="4" w:space="0" w:color="auto"/>
            </w:tcBorders>
            <w:shd w:val="clear" w:color="000000" w:fill="C4D7F0"/>
            <w:vAlign w:val="center"/>
            <w:hideMark/>
          </w:tcPr>
          <w:p w14:paraId="17CDA3ED"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 </w:t>
            </w:r>
          </w:p>
        </w:tc>
        <w:tc>
          <w:tcPr>
            <w:tcW w:w="163" w:type="pct"/>
            <w:vAlign w:val="center"/>
            <w:hideMark/>
          </w:tcPr>
          <w:p w14:paraId="47166788" w14:textId="77777777" w:rsidR="000E2DD1" w:rsidRPr="00B91524" w:rsidRDefault="000E2DD1" w:rsidP="000E2DD1">
            <w:pPr>
              <w:spacing w:after="0"/>
              <w:rPr>
                <w:rFonts w:ascii="Times New Roman" w:hAnsi="Times New Roman"/>
                <w:sz w:val="20"/>
                <w:lang w:eastAsia="en-GB"/>
              </w:rPr>
            </w:pPr>
          </w:p>
        </w:tc>
      </w:tr>
      <w:tr w:rsidR="000E2DD1" w:rsidRPr="00294036" w14:paraId="3B9BB615" w14:textId="77777777" w:rsidTr="000E2DD1">
        <w:trPr>
          <w:trHeight w:val="286"/>
        </w:trPr>
        <w:tc>
          <w:tcPr>
            <w:tcW w:w="1250" w:type="pct"/>
            <w:vMerge/>
            <w:tcBorders>
              <w:top w:val="nil"/>
              <w:left w:val="single" w:sz="4" w:space="0" w:color="auto"/>
              <w:bottom w:val="single" w:sz="4" w:space="0" w:color="auto"/>
              <w:right w:val="single" w:sz="4" w:space="0" w:color="auto"/>
            </w:tcBorders>
            <w:vAlign w:val="center"/>
            <w:hideMark/>
          </w:tcPr>
          <w:p w14:paraId="16E60393" w14:textId="77777777" w:rsidR="000E2DD1" w:rsidRPr="00B91524" w:rsidRDefault="000E2DD1" w:rsidP="000E2DD1">
            <w:pPr>
              <w:spacing w:after="0"/>
              <w:rPr>
                <w:rFonts w:cs="Arial"/>
                <w:color w:val="000000"/>
                <w:sz w:val="16"/>
                <w:szCs w:val="16"/>
                <w:lang w:eastAsia="en-GB"/>
              </w:rPr>
            </w:pPr>
          </w:p>
        </w:tc>
        <w:tc>
          <w:tcPr>
            <w:tcW w:w="1641" w:type="pct"/>
            <w:vMerge/>
            <w:tcBorders>
              <w:top w:val="nil"/>
              <w:left w:val="single" w:sz="4" w:space="0" w:color="auto"/>
              <w:bottom w:val="single" w:sz="4" w:space="0" w:color="auto"/>
              <w:right w:val="single" w:sz="4" w:space="0" w:color="auto"/>
            </w:tcBorders>
            <w:vAlign w:val="center"/>
            <w:hideMark/>
          </w:tcPr>
          <w:p w14:paraId="1123C96A" w14:textId="77777777" w:rsidR="000E2DD1" w:rsidRPr="00B91524" w:rsidRDefault="000E2DD1" w:rsidP="000E2DD1">
            <w:pPr>
              <w:spacing w:after="0"/>
              <w:rPr>
                <w:rFonts w:cs="Arial"/>
                <w:color w:val="000000"/>
                <w:sz w:val="16"/>
                <w:szCs w:val="16"/>
                <w:lang w:eastAsia="en-GB"/>
              </w:rPr>
            </w:pPr>
          </w:p>
        </w:tc>
        <w:tc>
          <w:tcPr>
            <w:tcW w:w="1946" w:type="pct"/>
            <w:tcBorders>
              <w:top w:val="nil"/>
              <w:left w:val="nil"/>
              <w:bottom w:val="single" w:sz="4" w:space="0" w:color="auto"/>
              <w:right w:val="single" w:sz="4" w:space="0" w:color="auto"/>
            </w:tcBorders>
            <w:shd w:val="clear" w:color="000000" w:fill="C4D7F0"/>
            <w:vAlign w:val="center"/>
            <w:hideMark/>
          </w:tcPr>
          <w:p w14:paraId="24F2A507" w14:textId="77777777" w:rsidR="000E2DD1" w:rsidRPr="00B91524" w:rsidRDefault="000E2DD1" w:rsidP="000E2DD1">
            <w:pPr>
              <w:spacing w:after="0"/>
              <w:rPr>
                <w:rFonts w:cs="Arial"/>
                <w:b/>
                <w:bCs/>
                <w:color w:val="000000"/>
                <w:sz w:val="16"/>
                <w:szCs w:val="16"/>
                <w:lang w:val="es-ES" w:eastAsia="en-GB"/>
              </w:rPr>
            </w:pPr>
            <w:proofErr w:type="spellStart"/>
            <w:r w:rsidRPr="00B91524">
              <w:rPr>
                <w:rFonts w:cs="Arial"/>
                <w:b/>
                <w:bCs/>
                <w:color w:val="000000"/>
                <w:sz w:val="16"/>
                <w:szCs w:val="16"/>
                <w:lang w:val="es-ES" w:eastAsia="en-GB"/>
              </w:rPr>
              <w:t>Minor</w:t>
            </w:r>
            <w:proofErr w:type="spellEnd"/>
            <w:r w:rsidRPr="00B91524">
              <w:rPr>
                <w:rFonts w:cs="Arial"/>
                <w:b/>
                <w:bCs/>
                <w:color w:val="000000"/>
                <w:sz w:val="16"/>
                <w:szCs w:val="16"/>
                <w:lang w:val="es-ES" w:eastAsia="en-GB"/>
              </w:rPr>
              <w:t xml:space="preserve"> adverse </w:t>
            </w:r>
            <w:proofErr w:type="spellStart"/>
            <w:r w:rsidRPr="00B91524">
              <w:rPr>
                <w:rFonts w:cs="Arial"/>
                <w:color w:val="000000"/>
                <w:sz w:val="16"/>
                <w:szCs w:val="16"/>
                <w:lang w:val="es-ES" w:eastAsia="en-GB"/>
              </w:rPr>
              <w:t>impact</w:t>
            </w:r>
            <w:proofErr w:type="spellEnd"/>
            <w:r w:rsidRPr="00B91524">
              <w:rPr>
                <w:rFonts w:cs="Arial"/>
                <w:color w:val="000000"/>
                <w:sz w:val="16"/>
                <w:szCs w:val="16"/>
                <w:lang w:val="es-ES" w:eastAsia="en-GB"/>
              </w:rPr>
              <w:t xml:space="preserve"> (VER C)</w:t>
            </w:r>
          </w:p>
        </w:tc>
        <w:tc>
          <w:tcPr>
            <w:tcW w:w="163" w:type="pct"/>
            <w:vAlign w:val="center"/>
            <w:hideMark/>
          </w:tcPr>
          <w:p w14:paraId="0BB1B5E4" w14:textId="77777777" w:rsidR="000E2DD1" w:rsidRPr="00B91524" w:rsidRDefault="000E2DD1" w:rsidP="000E2DD1">
            <w:pPr>
              <w:spacing w:after="0"/>
              <w:rPr>
                <w:rFonts w:ascii="Times New Roman" w:hAnsi="Times New Roman"/>
                <w:sz w:val="20"/>
                <w:lang w:val="es-ES" w:eastAsia="en-GB"/>
              </w:rPr>
            </w:pPr>
          </w:p>
        </w:tc>
      </w:tr>
      <w:tr w:rsidR="000E2DD1" w:rsidRPr="00B91524" w14:paraId="749585C3" w14:textId="77777777" w:rsidTr="000E2DD1">
        <w:trPr>
          <w:trHeight w:val="286"/>
        </w:trPr>
        <w:tc>
          <w:tcPr>
            <w:tcW w:w="4837" w:type="pct"/>
            <w:gridSpan w:val="3"/>
            <w:tcBorders>
              <w:top w:val="single" w:sz="4" w:space="0" w:color="auto"/>
              <w:left w:val="single" w:sz="4" w:space="0" w:color="auto"/>
              <w:bottom w:val="single" w:sz="4" w:space="0" w:color="auto"/>
              <w:right w:val="single" w:sz="4" w:space="0" w:color="auto"/>
            </w:tcBorders>
            <w:shd w:val="clear" w:color="000000" w:fill="C4D7F0"/>
            <w:vAlign w:val="center"/>
            <w:hideMark/>
          </w:tcPr>
          <w:p w14:paraId="5FA51DB1" w14:textId="77777777" w:rsidR="000E2DD1" w:rsidRPr="00B91524" w:rsidRDefault="000E2DD1" w:rsidP="000E2DD1">
            <w:pPr>
              <w:spacing w:after="0"/>
              <w:rPr>
                <w:rFonts w:cs="Arial"/>
                <w:b/>
                <w:bCs/>
                <w:color w:val="000000"/>
                <w:sz w:val="16"/>
                <w:szCs w:val="16"/>
                <w:lang w:eastAsia="en-GB"/>
              </w:rPr>
            </w:pPr>
            <w:r w:rsidRPr="00B91524">
              <w:rPr>
                <w:rFonts w:cs="Arial"/>
                <w:b/>
                <w:bCs/>
                <w:color w:val="000000"/>
                <w:sz w:val="16"/>
                <w:szCs w:val="16"/>
                <w:lang w:eastAsia="en-GB"/>
              </w:rPr>
              <w:t>Decommissioning</w:t>
            </w:r>
          </w:p>
        </w:tc>
        <w:tc>
          <w:tcPr>
            <w:tcW w:w="163" w:type="pct"/>
            <w:vAlign w:val="center"/>
            <w:hideMark/>
          </w:tcPr>
          <w:p w14:paraId="5C70F5E0" w14:textId="77777777" w:rsidR="000E2DD1" w:rsidRPr="00B91524" w:rsidRDefault="000E2DD1" w:rsidP="000E2DD1">
            <w:pPr>
              <w:spacing w:after="0"/>
              <w:rPr>
                <w:rFonts w:ascii="Times New Roman" w:hAnsi="Times New Roman"/>
                <w:sz w:val="20"/>
                <w:lang w:eastAsia="en-GB"/>
              </w:rPr>
            </w:pPr>
          </w:p>
        </w:tc>
      </w:tr>
      <w:tr w:rsidR="000E2DD1" w:rsidRPr="00B91524" w14:paraId="7F0EF738" w14:textId="77777777" w:rsidTr="000E2DD1">
        <w:trPr>
          <w:trHeight w:val="861"/>
        </w:trPr>
        <w:tc>
          <w:tcPr>
            <w:tcW w:w="1250" w:type="pct"/>
            <w:tcBorders>
              <w:top w:val="nil"/>
              <w:left w:val="single" w:sz="4" w:space="0" w:color="auto"/>
              <w:bottom w:val="single" w:sz="4" w:space="0" w:color="auto"/>
              <w:right w:val="single" w:sz="4" w:space="0" w:color="auto"/>
            </w:tcBorders>
            <w:shd w:val="clear" w:color="000000" w:fill="C4D7F0"/>
            <w:vAlign w:val="center"/>
            <w:hideMark/>
          </w:tcPr>
          <w:p w14:paraId="27397F8E"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Increased suspended sediment concentration and sediment deposition</w:t>
            </w:r>
          </w:p>
        </w:tc>
        <w:tc>
          <w:tcPr>
            <w:tcW w:w="1641" w:type="pct"/>
            <w:tcBorders>
              <w:top w:val="nil"/>
              <w:left w:val="nil"/>
              <w:bottom w:val="single" w:sz="4" w:space="0" w:color="auto"/>
              <w:right w:val="single" w:sz="4" w:space="0" w:color="auto"/>
            </w:tcBorders>
            <w:shd w:val="clear" w:color="000000" w:fill="C4D7F0"/>
            <w:vAlign w:val="center"/>
            <w:hideMark/>
          </w:tcPr>
          <w:p w14:paraId="63DF2BD9"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None</w:t>
            </w:r>
          </w:p>
        </w:tc>
        <w:tc>
          <w:tcPr>
            <w:tcW w:w="1946" w:type="pct"/>
            <w:tcBorders>
              <w:top w:val="nil"/>
              <w:left w:val="nil"/>
              <w:bottom w:val="single" w:sz="4" w:space="0" w:color="auto"/>
              <w:right w:val="single" w:sz="4" w:space="0" w:color="auto"/>
            </w:tcBorders>
            <w:shd w:val="clear" w:color="000000" w:fill="C4D7F0"/>
            <w:vAlign w:val="center"/>
            <w:hideMark/>
          </w:tcPr>
          <w:p w14:paraId="03A205B1"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Negligible impact</w:t>
            </w:r>
          </w:p>
        </w:tc>
        <w:tc>
          <w:tcPr>
            <w:tcW w:w="163" w:type="pct"/>
            <w:vAlign w:val="center"/>
            <w:hideMark/>
          </w:tcPr>
          <w:p w14:paraId="79C11351" w14:textId="77777777" w:rsidR="000E2DD1" w:rsidRPr="00B91524" w:rsidRDefault="000E2DD1" w:rsidP="000E2DD1">
            <w:pPr>
              <w:spacing w:after="0"/>
              <w:rPr>
                <w:rFonts w:ascii="Times New Roman" w:hAnsi="Times New Roman"/>
                <w:sz w:val="20"/>
                <w:lang w:eastAsia="en-GB"/>
              </w:rPr>
            </w:pPr>
          </w:p>
        </w:tc>
      </w:tr>
      <w:tr w:rsidR="000E2DD1" w:rsidRPr="00B91524" w14:paraId="56A21161" w14:textId="77777777" w:rsidTr="000E2DD1">
        <w:trPr>
          <w:trHeight w:val="645"/>
        </w:trPr>
        <w:tc>
          <w:tcPr>
            <w:tcW w:w="1250" w:type="pct"/>
            <w:tcBorders>
              <w:top w:val="nil"/>
              <w:left w:val="single" w:sz="4" w:space="0" w:color="auto"/>
              <w:bottom w:val="single" w:sz="4" w:space="0" w:color="auto"/>
              <w:right w:val="single" w:sz="4" w:space="0" w:color="auto"/>
            </w:tcBorders>
            <w:shd w:val="clear" w:color="000000" w:fill="C4D7F0"/>
            <w:vAlign w:val="center"/>
            <w:hideMark/>
          </w:tcPr>
          <w:p w14:paraId="7C2F15A7"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Loss of species colonising hard structures</w:t>
            </w:r>
          </w:p>
        </w:tc>
        <w:tc>
          <w:tcPr>
            <w:tcW w:w="1641" w:type="pct"/>
            <w:tcBorders>
              <w:top w:val="nil"/>
              <w:left w:val="nil"/>
              <w:bottom w:val="single" w:sz="4" w:space="0" w:color="auto"/>
              <w:right w:val="single" w:sz="4" w:space="0" w:color="auto"/>
            </w:tcBorders>
            <w:shd w:val="clear" w:color="000000" w:fill="C4D7F0"/>
            <w:vAlign w:val="center"/>
            <w:hideMark/>
          </w:tcPr>
          <w:p w14:paraId="355EA0AE"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None</w:t>
            </w:r>
          </w:p>
        </w:tc>
        <w:tc>
          <w:tcPr>
            <w:tcW w:w="1946" w:type="pct"/>
            <w:tcBorders>
              <w:top w:val="nil"/>
              <w:left w:val="nil"/>
              <w:bottom w:val="single" w:sz="4" w:space="0" w:color="auto"/>
              <w:right w:val="single" w:sz="4" w:space="0" w:color="auto"/>
            </w:tcBorders>
            <w:shd w:val="clear" w:color="000000" w:fill="C4D7F0"/>
            <w:vAlign w:val="center"/>
            <w:hideMark/>
          </w:tcPr>
          <w:p w14:paraId="0A46F42D"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Negligible impact</w:t>
            </w:r>
          </w:p>
        </w:tc>
        <w:tc>
          <w:tcPr>
            <w:tcW w:w="163" w:type="pct"/>
            <w:vAlign w:val="center"/>
            <w:hideMark/>
          </w:tcPr>
          <w:p w14:paraId="5F122854" w14:textId="77777777" w:rsidR="000E2DD1" w:rsidRPr="00B91524" w:rsidRDefault="000E2DD1" w:rsidP="000E2DD1">
            <w:pPr>
              <w:spacing w:after="0"/>
              <w:rPr>
                <w:rFonts w:ascii="Times New Roman" w:hAnsi="Times New Roman"/>
                <w:sz w:val="20"/>
                <w:lang w:eastAsia="en-GB"/>
              </w:rPr>
            </w:pPr>
          </w:p>
        </w:tc>
      </w:tr>
      <w:tr w:rsidR="000E2DD1" w:rsidRPr="00B91524" w14:paraId="61F70000" w14:textId="77777777" w:rsidTr="000E2DD1">
        <w:trPr>
          <w:trHeight w:val="861"/>
        </w:trPr>
        <w:tc>
          <w:tcPr>
            <w:tcW w:w="1250" w:type="pct"/>
            <w:tcBorders>
              <w:top w:val="nil"/>
              <w:left w:val="single" w:sz="4" w:space="0" w:color="auto"/>
              <w:bottom w:val="single" w:sz="4" w:space="0" w:color="auto"/>
              <w:right w:val="single" w:sz="4" w:space="0" w:color="auto"/>
            </w:tcBorders>
            <w:shd w:val="clear" w:color="000000" w:fill="C4D7F0"/>
            <w:vAlign w:val="center"/>
            <w:hideMark/>
          </w:tcPr>
          <w:p w14:paraId="2281A18A"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Temporary disturbance to habitats via removal of cables</w:t>
            </w:r>
          </w:p>
        </w:tc>
        <w:tc>
          <w:tcPr>
            <w:tcW w:w="1641" w:type="pct"/>
            <w:tcBorders>
              <w:top w:val="nil"/>
              <w:left w:val="nil"/>
              <w:bottom w:val="single" w:sz="4" w:space="0" w:color="auto"/>
              <w:right w:val="single" w:sz="4" w:space="0" w:color="auto"/>
            </w:tcBorders>
            <w:shd w:val="clear" w:color="000000" w:fill="C4D7F0"/>
            <w:vAlign w:val="center"/>
            <w:hideMark/>
          </w:tcPr>
          <w:p w14:paraId="621EE2CE"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None</w:t>
            </w:r>
          </w:p>
        </w:tc>
        <w:tc>
          <w:tcPr>
            <w:tcW w:w="1946" w:type="pct"/>
            <w:tcBorders>
              <w:top w:val="nil"/>
              <w:left w:val="nil"/>
              <w:bottom w:val="single" w:sz="4" w:space="0" w:color="auto"/>
              <w:right w:val="single" w:sz="4" w:space="0" w:color="auto"/>
            </w:tcBorders>
            <w:shd w:val="clear" w:color="000000" w:fill="C4D7F0"/>
            <w:vAlign w:val="center"/>
            <w:hideMark/>
          </w:tcPr>
          <w:p w14:paraId="55EFD11A"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Negligible impact on all VER apart from VER C</w:t>
            </w:r>
          </w:p>
        </w:tc>
        <w:tc>
          <w:tcPr>
            <w:tcW w:w="163" w:type="pct"/>
            <w:vAlign w:val="center"/>
            <w:hideMark/>
          </w:tcPr>
          <w:p w14:paraId="6C35AB3C" w14:textId="77777777" w:rsidR="000E2DD1" w:rsidRPr="00B91524" w:rsidRDefault="000E2DD1" w:rsidP="000E2DD1">
            <w:pPr>
              <w:spacing w:after="0"/>
              <w:rPr>
                <w:rFonts w:ascii="Times New Roman" w:hAnsi="Times New Roman"/>
                <w:sz w:val="20"/>
                <w:lang w:eastAsia="en-GB"/>
              </w:rPr>
            </w:pPr>
          </w:p>
        </w:tc>
      </w:tr>
      <w:tr w:rsidR="000E2DD1" w:rsidRPr="00B91524" w14:paraId="4BD6A936" w14:textId="77777777" w:rsidTr="000E2DD1">
        <w:trPr>
          <w:trHeight w:val="286"/>
        </w:trPr>
        <w:tc>
          <w:tcPr>
            <w:tcW w:w="1250" w:type="pct"/>
            <w:vMerge w:val="restart"/>
            <w:tcBorders>
              <w:top w:val="nil"/>
              <w:left w:val="single" w:sz="4" w:space="0" w:color="auto"/>
              <w:bottom w:val="single" w:sz="4" w:space="0" w:color="auto"/>
              <w:right w:val="single" w:sz="4" w:space="0" w:color="auto"/>
            </w:tcBorders>
            <w:shd w:val="clear" w:color="000000" w:fill="C4D7F0"/>
            <w:vAlign w:val="center"/>
            <w:hideMark/>
          </w:tcPr>
          <w:p w14:paraId="5BC7ECB8"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 xml:space="preserve">Potential decommissioning phase impacts on the Dogger Bank </w:t>
            </w:r>
            <w:proofErr w:type="spellStart"/>
            <w:r w:rsidRPr="00B91524">
              <w:rPr>
                <w:rFonts w:cs="Arial"/>
                <w:color w:val="000000"/>
                <w:sz w:val="16"/>
                <w:szCs w:val="16"/>
                <w:lang w:eastAsia="en-GB"/>
              </w:rPr>
              <w:t>cSAC</w:t>
            </w:r>
            <w:proofErr w:type="spellEnd"/>
          </w:p>
        </w:tc>
        <w:tc>
          <w:tcPr>
            <w:tcW w:w="1641" w:type="pct"/>
            <w:vMerge w:val="restart"/>
            <w:tcBorders>
              <w:top w:val="nil"/>
              <w:left w:val="single" w:sz="4" w:space="0" w:color="auto"/>
              <w:bottom w:val="single" w:sz="4" w:space="0" w:color="auto"/>
              <w:right w:val="single" w:sz="4" w:space="0" w:color="auto"/>
            </w:tcBorders>
            <w:shd w:val="clear" w:color="000000" w:fill="C4D7F0"/>
            <w:vAlign w:val="center"/>
            <w:hideMark/>
          </w:tcPr>
          <w:p w14:paraId="1FD13E31"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None</w:t>
            </w:r>
          </w:p>
        </w:tc>
        <w:tc>
          <w:tcPr>
            <w:tcW w:w="1946" w:type="pct"/>
            <w:tcBorders>
              <w:top w:val="nil"/>
              <w:left w:val="nil"/>
              <w:bottom w:val="single" w:sz="4" w:space="0" w:color="auto"/>
              <w:right w:val="single" w:sz="4" w:space="0" w:color="auto"/>
            </w:tcBorders>
            <w:shd w:val="clear" w:color="000000" w:fill="C4D7F0"/>
            <w:vAlign w:val="center"/>
            <w:hideMark/>
          </w:tcPr>
          <w:p w14:paraId="394B8E21" w14:textId="77777777" w:rsidR="000E2DD1" w:rsidRPr="00B91524" w:rsidRDefault="000E2DD1" w:rsidP="000E2DD1">
            <w:pPr>
              <w:spacing w:after="0"/>
              <w:rPr>
                <w:rFonts w:cs="Arial"/>
                <w:b/>
                <w:bCs/>
                <w:color w:val="000000"/>
                <w:sz w:val="16"/>
                <w:szCs w:val="16"/>
                <w:lang w:eastAsia="en-GB"/>
              </w:rPr>
            </w:pPr>
            <w:r w:rsidRPr="00B91524">
              <w:rPr>
                <w:rFonts w:cs="Arial"/>
                <w:b/>
                <w:bCs/>
                <w:color w:val="000000"/>
                <w:sz w:val="16"/>
                <w:szCs w:val="16"/>
                <w:lang w:eastAsia="en-GB"/>
              </w:rPr>
              <w:t xml:space="preserve">Negligible </w:t>
            </w:r>
            <w:r w:rsidRPr="00B91524">
              <w:rPr>
                <w:rFonts w:cs="Arial"/>
                <w:color w:val="000000"/>
                <w:sz w:val="16"/>
                <w:szCs w:val="16"/>
                <w:lang w:eastAsia="en-GB"/>
              </w:rPr>
              <w:t>impact (VER A and B)</w:t>
            </w:r>
          </w:p>
        </w:tc>
        <w:tc>
          <w:tcPr>
            <w:tcW w:w="163" w:type="pct"/>
            <w:vAlign w:val="center"/>
            <w:hideMark/>
          </w:tcPr>
          <w:p w14:paraId="229867E6" w14:textId="77777777" w:rsidR="000E2DD1" w:rsidRPr="00B91524" w:rsidRDefault="000E2DD1" w:rsidP="000E2DD1">
            <w:pPr>
              <w:spacing w:after="0"/>
              <w:rPr>
                <w:rFonts w:ascii="Times New Roman" w:hAnsi="Times New Roman"/>
                <w:sz w:val="20"/>
                <w:lang w:eastAsia="en-GB"/>
              </w:rPr>
            </w:pPr>
          </w:p>
        </w:tc>
      </w:tr>
      <w:tr w:rsidR="000E2DD1" w:rsidRPr="00B91524" w14:paraId="10E5A277" w14:textId="77777777" w:rsidTr="000E2DD1">
        <w:trPr>
          <w:trHeight w:val="286"/>
        </w:trPr>
        <w:tc>
          <w:tcPr>
            <w:tcW w:w="1250" w:type="pct"/>
            <w:vMerge/>
            <w:tcBorders>
              <w:top w:val="nil"/>
              <w:left w:val="single" w:sz="4" w:space="0" w:color="auto"/>
              <w:bottom w:val="single" w:sz="4" w:space="0" w:color="auto"/>
              <w:right w:val="single" w:sz="4" w:space="0" w:color="auto"/>
            </w:tcBorders>
            <w:vAlign w:val="center"/>
            <w:hideMark/>
          </w:tcPr>
          <w:p w14:paraId="05266179" w14:textId="77777777" w:rsidR="000E2DD1" w:rsidRPr="00B91524" w:rsidRDefault="000E2DD1" w:rsidP="000E2DD1">
            <w:pPr>
              <w:spacing w:after="0"/>
              <w:rPr>
                <w:rFonts w:cs="Arial"/>
                <w:color w:val="000000"/>
                <w:sz w:val="16"/>
                <w:szCs w:val="16"/>
                <w:lang w:eastAsia="en-GB"/>
              </w:rPr>
            </w:pPr>
          </w:p>
        </w:tc>
        <w:tc>
          <w:tcPr>
            <w:tcW w:w="1641" w:type="pct"/>
            <w:vMerge/>
            <w:tcBorders>
              <w:top w:val="nil"/>
              <w:left w:val="single" w:sz="4" w:space="0" w:color="auto"/>
              <w:bottom w:val="single" w:sz="4" w:space="0" w:color="auto"/>
              <w:right w:val="single" w:sz="4" w:space="0" w:color="auto"/>
            </w:tcBorders>
            <w:vAlign w:val="center"/>
            <w:hideMark/>
          </w:tcPr>
          <w:p w14:paraId="2C76252B" w14:textId="77777777" w:rsidR="000E2DD1" w:rsidRPr="00B91524" w:rsidRDefault="000E2DD1" w:rsidP="000E2DD1">
            <w:pPr>
              <w:spacing w:after="0"/>
              <w:rPr>
                <w:rFonts w:cs="Arial"/>
                <w:color w:val="000000"/>
                <w:sz w:val="16"/>
                <w:szCs w:val="16"/>
                <w:lang w:eastAsia="en-GB"/>
              </w:rPr>
            </w:pPr>
          </w:p>
        </w:tc>
        <w:tc>
          <w:tcPr>
            <w:tcW w:w="1946" w:type="pct"/>
            <w:tcBorders>
              <w:top w:val="nil"/>
              <w:left w:val="nil"/>
              <w:bottom w:val="single" w:sz="4" w:space="0" w:color="auto"/>
              <w:right w:val="single" w:sz="4" w:space="0" w:color="auto"/>
            </w:tcBorders>
            <w:shd w:val="clear" w:color="000000" w:fill="C4D7F0"/>
            <w:vAlign w:val="center"/>
            <w:hideMark/>
          </w:tcPr>
          <w:p w14:paraId="4B7C9DAA" w14:textId="77777777" w:rsidR="000E2DD1" w:rsidRPr="00B91524" w:rsidRDefault="000E2DD1" w:rsidP="000E2DD1">
            <w:pPr>
              <w:spacing w:after="0"/>
              <w:rPr>
                <w:rFonts w:cs="Arial"/>
                <w:color w:val="000000"/>
                <w:sz w:val="16"/>
                <w:szCs w:val="16"/>
                <w:lang w:eastAsia="en-GB"/>
              </w:rPr>
            </w:pPr>
            <w:r w:rsidRPr="00B91524">
              <w:rPr>
                <w:rFonts w:cs="Arial"/>
                <w:color w:val="000000"/>
                <w:sz w:val="16"/>
                <w:szCs w:val="16"/>
                <w:lang w:eastAsia="en-GB"/>
              </w:rPr>
              <w:t> </w:t>
            </w:r>
          </w:p>
        </w:tc>
        <w:tc>
          <w:tcPr>
            <w:tcW w:w="163" w:type="pct"/>
            <w:vAlign w:val="center"/>
            <w:hideMark/>
          </w:tcPr>
          <w:p w14:paraId="06B961B2" w14:textId="77777777" w:rsidR="000E2DD1" w:rsidRPr="00B91524" w:rsidRDefault="000E2DD1" w:rsidP="000E2DD1">
            <w:pPr>
              <w:spacing w:after="0"/>
              <w:rPr>
                <w:rFonts w:ascii="Times New Roman" w:hAnsi="Times New Roman"/>
                <w:sz w:val="20"/>
                <w:lang w:eastAsia="en-GB"/>
              </w:rPr>
            </w:pPr>
          </w:p>
        </w:tc>
      </w:tr>
      <w:tr w:rsidR="000E2DD1" w:rsidRPr="00294036" w14:paraId="28296DB1" w14:textId="77777777" w:rsidTr="000E2DD1">
        <w:trPr>
          <w:trHeight w:val="286"/>
        </w:trPr>
        <w:tc>
          <w:tcPr>
            <w:tcW w:w="1250" w:type="pct"/>
            <w:vMerge/>
            <w:tcBorders>
              <w:top w:val="nil"/>
              <w:left w:val="single" w:sz="4" w:space="0" w:color="auto"/>
              <w:bottom w:val="single" w:sz="4" w:space="0" w:color="auto"/>
              <w:right w:val="single" w:sz="4" w:space="0" w:color="auto"/>
            </w:tcBorders>
            <w:vAlign w:val="center"/>
            <w:hideMark/>
          </w:tcPr>
          <w:p w14:paraId="54965691" w14:textId="77777777" w:rsidR="000E2DD1" w:rsidRPr="00B91524" w:rsidRDefault="000E2DD1" w:rsidP="000E2DD1">
            <w:pPr>
              <w:spacing w:after="0"/>
              <w:rPr>
                <w:rFonts w:cs="Arial"/>
                <w:color w:val="000000"/>
                <w:sz w:val="16"/>
                <w:szCs w:val="16"/>
                <w:lang w:eastAsia="en-GB"/>
              </w:rPr>
            </w:pPr>
          </w:p>
        </w:tc>
        <w:tc>
          <w:tcPr>
            <w:tcW w:w="1641" w:type="pct"/>
            <w:vMerge/>
            <w:tcBorders>
              <w:top w:val="nil"/>
              <w:left w:val="single" w:sz="4" w:space="0" w:color="auto"/>
              <w:bottom w:val="single" w:sz="4" w:space="0" w:color="auto"/>
              <w:right w:val="single" w:sz="4" w:space="0" w:color="auto"/>
            </w:tcBorders>
            <w:vAlign w:val="center"/>
            <w:hideMark/>
          </w:tcPr>
          <w:p w14:paraId="2683E061" w14:textId="77777777" w:rsidR="000E2DD1" w:rsidRPr="00B91524" w:rsidRDefault="000E2DD1" w:rsidP="000E2DD1">
            <w:pPr>
              <w:spacing w:after="0"/>
              <w:rPr>
                <w:rFonts w:cs="Arial"/>
                <w:color w:val="000000"/>
                <w:sz w:val="16"/>
                <w:szCs w:val="16"/>
                <w:lang w:eastAsia="en-GB"/>
              </w:rPr>
            </w:pPr>
          </w:p>
        </w:tc>
        <w:tc>
          <w:tcPr>
            <w:tcW w:w="1946" w:type="pct"/>
            <w:tcBorders>
              <w:top w:val="nil"/>
              <w:left w:val="nil"/>
              <w:bottom w:val="single" w:sz="4" w:space="0" w:color="auto"/>
              <w:right w:val="single" w:sz="4" w:space="0" w:color="auto"/>
            </w:tcBorders>
            <w:shd w:val="clear" w:color="000000" w:fill="C4D7F0"/>
            <w:vAlign w:val="center"/>
            <w:hideMark/>
          </w:tcPr>
          <w:p w14:paraId="2C43ABB4" w14:textId="77777777" w:rsidR="000E2DD1" w:rsidRPr="00B91524" w:rsidRDefault="000E2DD1" w:rsidP="000E2DD1">
            <w:pPr>
              <w:spacing w:after="0"/>
              <w:rPr>
                <w:rFonts w:cs="Arial"/>
                <w:b/>
                <w:bCs/>
                <w:color w:val="000000"/>
                <w:sz w:val="16"/>
                <w:szCs w:val="16"/>
                <w:lang w:val="es-ES" w:eastAsia="en-GB"/>
              </w:rPr>
            </w:pPr>
            <w:proofErr w:type="spellStart"/>
            <w:r w:rsidRPr="00B91524">
              <w:rPr>
                <w:rFonts w:cs="Arial"/>
                <w:b/>
                <w:bCs/>
                <w:color w:val="000000"/>
                <w:sz w:val="16"/>
                <w:szCs w:val="16"/>
                <w:lang w:val="es-ES" w:eastAsia="en-GB"/>
              </w:rPr>
              <w:t>Minor</w:t>
            </w:r>
            <w:proofErr w:type="spellEnd"/>
            <w:r w:rsidRPr="00B91524">
              <w:rPr>
                <w:rFonts w:cs="Arial"/>
                <w:b/>
                <w:bCs/>
                <w:color w:val="000000"/>
                <w:sz w:val="16"/>
                <w:szCs w:val="16"/>
                <w:lang w:val="es-ES" w:eastAsia="en-GB"/>
              </w:rPr>
              <w:t xml:space="preserve"> adverse </w:t>
            </w:r>
            <w:proofErr w:type="spellStart"/>
            <w:r w:rsidRPr="00B91524">
              <w:rPr>
                <w:rFonts w:cs="Arial"/>
                <w:color w:val="000000"/>
                <w:sz w:val="16"/>
                <w:szCs w:val="16"/>
                <w:lang w:val="es-ES" w:eastAsia="en-GB"/>
              </w:rPr>
              <w:t>impact</w:t>
            </w:r>
            <w:proofErr w:type="spellEnd"/>
            <w:r w:rsidRPr="00B91524">
              <w:rPr>
                <w:rFonts w:cs="Arial"/>
                <w:color w:val="000000"/>
                <w:sz w:val="16"/>
                <w:szCs w:val="16"/>
                <w:lang w:val="es-ES" w:eastAsia="en-GB"/>
              </w:rPr>
              <w:t xml:space="preserve"> (VER C)</w:t>
            </w:r>
          </w:p>
        </w:tc>
        <w:tc>
          <w:tcPr>
            <w:tcW w:w="163" w:type="pct"/>
            <w:vAlign w:val="center"/>
            <w:hideMark/>
          </w:tcPr>
          <w:p w14:paraId="3B1ED04A" w14:textId="77777777" w:rsidR="000E2DD1" w:rsidRPr="00B91524" w:rsidRDefault="000E2DD1" w:rsidP="000E2DD1">
            <w:pPr>
              <w:spacing w:after="0"/>
              <w:rPr>
                <w:rFonts w:ascii="Times New Roman" w:hAnsi="Times New Roman"/>
                <w:sz w:val="20"/>
                <w:lang w:val="es-ES" w:eastAsia="en-GB"/>
              </w:rPr>
            </w:pPr>
          </w:p>
        </w:tc>
      </w:tr>
    </w:tbl>
    <w:p w14:paraId="1AC701C9" w14:textId="77777777" w:rsidR="000E2DD1" w:rsidRPr="00B91524" w:rsidRDefault="000E2DD1" w:rsidP="000E2DD1">
      <w:pPr>
        <w:rPr>
          <w:b/>
          <w:bCs/>
          <w:sz w:val="18"/>
          <w:szCs w:val="18"/>
          <w:lang w:val="es-ES"/>
        </w:rPr>
      </w:pPr>
    </w:p>
    <w:p w14:paraId="077D79CD" w14:textId="77777777" w:rsidR="000E2DD1" w:rsidRPr="00B91524" w:rsidRDefault="000E2DD1" w:rsidP="000E2DD1">
      <w:pPr>
        <w:rPr>
          <w:b/>
          <w:bCs/>
          <w:sz w:val="18"/>
          <w:szCs w:val="18"/>
          <w:lang w:val="es-ES"/>
        </w:rPr>
      </w:pPr>
    </w:p>
    <w:p w14:paraId="34271905" w14:textId="5F9C3A82" w:rsidR="000E2DD1" w:rsidRPr="00B91524" w:rsidRDefault="000E2DD1" w:rsidP="000E2DD1">
      <w:pPr>
        <w:rPr>
          <w:rFonts w:asciiTheme="minorHAnsi" w:hAnsiTheme="minorHAnsi"/>
          <w:lang w:val="es-ES"/>
        </w:rPr>
        <w:sectPr w:rsidR="000E2DD1" w:rsidRPr="00B91524" w:rsidSect="00EC2978">
          <w:headerReference w:type="default" r:id="rId43"/>
          <w:pgSz w:w="11916" w:h="16848"/>
          <w:pgMar w:top="1440" w:right="1080" w:bottom="1440" w:left="1080" w:header="850" w:footer="708" w:gutter="0"/>
          <w:cols w:space="720"/>
          <w:docGrid w:linePitch="360"/>
        </w:sectPr>
      </w:pPr>
    </w:p>
    <w:p w14:paraId="6504DC07" w14:textId="75084ADE" w:rsidR="005E0886" w:rsidRPr="00B91524" w:rsidRDefault="005E0886" w:rsidP="005E0886">
      <w:pPr>
        <w:pStyle w:val="Appendix"/>
      </w:pPr>
      <w:bookmarkStart w:id="142" w:name="_Toc40437680"/>
      <w:bookmarkStart w:id="143" w:name="_Toc41050566"/>
      <w:bookmarkStart w:id="144" w:name="_Toc46090252"/>
      <w:bookmarkStart w:id="145" w:name="_Toc74670352"/>
      <w:r w:rsidRPr="00B91524">
        <w:lastRenderedPageBreak/>
        <w:t>Associated documents</w:t>
      </w:r>
      <w:bookmarkEnd w:id="142"/>
      <w:bookmarkEnd w:id="143"/>
      <w:bookmarkEnd w:id="144"/>
      <w:bookmarkEnd w:id="145"/>
    </w:p>
    <w:p w14:paraId="0D23AD46" w14:textId="07A3D899" w:rsidR="005E0886" w:rsidRPr="00B91524" w:rsidRDefault="005E0886" w:rsidP="005E0886">
      <w:pPr>
        <w:pStyle w:val="Caption"/>
        <w:rPr>
          <w:noProof/>
        </w:rPr>
      </w:pPr>
      <w:bookmarkStart w:id="146" w:name="_Toc41050527"/>
      <w:r w:rsidRPr="00B91524">
        <w:t>Table G1 Documents relevant to the Benthic Monitoring Plan.</w:t>
      </w:r>
      <w:bookmarkEnd w:id="146"/>
    </w:p>
    <w:tbl>
      <w:tblPr>
        <w:tblW w:w="5000" w:type="pct"/>
        <w:tblLook w:val="04A0" w:firstRow="1" w:lastRow="0" w:firstColumn="1" w:lastColumn="0" w:noHBand="0" w:noVBand="1"/>
      </w:tblPr>
      <w:tblGrid>
        <w:gridCol w:w="3610"/>
        <w:gridCol w:w="1327"/>
        <w:gridCol w:w="1268"/>
        <w:gridCol w:w="1804"/>
        <w:gridCol w:w="1515"/>
        <w:gridCol w:w="222"/>
      </w:tblGrid>
      <w:tr w:rsidR="005E0886" w:rsidRPr="00B91524" w14:paraId="470892ED" w14:textId="77777777" w:rsidTr="005E0886">
        <w:trPr>
          <w:gridAfter w:val="1"/>
          <w:wAfter w:w="143" w:type="pct"/>
          <w:trHeight w:val="442"/>
        </w:trPr>
        <w:tc>
          <w:tcPr>
            <w:tcW w:w="1888" w:type="pct"/>
            <w:tcBorders>
              <w:top w:val="single" w:sz="4" w:space="0" w:color="auto"/>
              <w:left w:val="single" w:sz="4" w:space="0" w:color="auto"/>
              <w:bottom w:val="single" w:sz="4" w:space="0" w:color="auto"/>
              <w:right w:val="single" w:sz="4" w:space="0" w:color="auto"/>
            </w:tcBorders>
            <w:shd w:val="clear" w:color="000000" w:fill="1D4477"/>
            <w:vAlign w:val="center"/>
            <w:hideMark/>
          </w:tcPr>
          <w:p w14:paraId="4E4CD3F0" w14:textId="77777777" w:rsidR="005E0886" w:rsidRPr="00B91524" w:rsidRDefault="005E0886" w:rsidP="005E0886">
            <w:pPr>
              <w:spacing w:after="0"/>
              <w:jc w:val="center"/>
              <w:rPr>
                <w:rFonts w:cs="Arial"/>
                <w:b/>
                <w:bCs/>
                <w:color w:val="FFFFFF"/>
                <w:sz w:val="18"/>
                <w:szCs w:val="18"/>
                <w:lang w:eastAsia="en-GB"/>
              </w:rPr>
            </w:pPr>
            <w:r w:rsidRPr="00B91524">
              <w:rPr>
                <w:rFonts w:cs="Arial"/>
                <w:b/>
                <w:bCs/>
                <w:caps/>
                <w:color w:val="FFFFFF" w:themeColor="background2"/>
                <w:sz w:val="18"/>
                <w:szCs w:val="18"/>
                <w:lang w:eastAsia="en-GB"/>
              </w:rPr>
              <w:t>Document</w:t>
            </w:r>
          </w:p>
        </w:tc>
        <w:tc>
          <w:tcPr>
            <w:tcW w:w="509" w:type="pct"/>
            <w:tcBorders>
              <w:top w:val="single" w:sz="4" w:space="0" w:color="auto"/>
              <w:left w:val="nil"/>
              <w:bottom w:val="single" w:sz="4" w:space="0" w:color="auto"/>
              <w:right w:val="single" w:sz="4" w:space="0" w:color="auto"/>
            </w:tcBorders>
            <w:shd w:val="clear" w:color="000000" w:fill="1D4477"/>
            <w:vAlign w:val="center"/>
            <w:hideMark/>
          </w:tcPr>
          <w:p w14:paraId="746B6A50" w14:textId="77777777" w:rsidR="005E0886" w:rsidRPr="00B91524" w:rsidRDefault="005E0886" w:rsidP="005E0886">
            <w:pPr>
              <w:spacing w:after="0"/>
              <w:jc w:val="center"/>
              <w:rPr>
                <w:rFonts w:cs="Arial"/>
                <w:b/>
                <w:bCs/>
                <w:color w:val="FFFFFF"/>
                <w:sz w:val="18"/>
                <w:szCs w:val="18"/>
                <w:lang w:eastAsia="en-GB"/>
              </w:rPr>
            </w:pPr>
            <w:r w:rsidRPr="00B91524">
              <w:rPr>
                <w:rFonts w:cs="Arial"/>
                <w:b/>
                <w:bCs/>
                <w:caps/>
                <w:color w:val="FFFFFF" w:themeColor="background2"/>
                <w:sz w:val="18"/>
                <w:szCs w:val="18"/>
                <w:lang w:eastAsia="en-GB"/>
              </w:rPr>
              <w:t>Document reference</w:t>
            </w:r>
          </w:p>
        </w:tc>
        <w:tc>
          <w:tcPr>
            <w:tcW w:w="686" w:type="pct"/>
            <w:tcBorders>
              <w:top w:val="single" w:sz="4" w:space="0" w:color="auto"/>
              <w:left w:val="nil"/>
              <w:bottom w:val="single" w:sz="4" w:space="0" w:color="auto"/>
              <w:right w:val="single" w:sz="4" w:space="0" w:color="auto"/>
            </w:tcBorders>
            <w:shd w:val="clear" w:color="000000" w:fill="1D4477"/>
            <w:vAlign w:val="center"/>
            <w:hideMark/>
          </w:tcPr>
          <w:p w14:paraId="57DA6DE1" w14:textId="77777777" w:rsidR="005E0886" w:rsidRPr="00B91524" w:rsidRDefault="005E0886" w:rsidP="005E0886">
            <w:pPr>
              <w:spacing w:after="0"/>
              <w:jc w:val="center"/>
              <w:rPr>
                <w:rFonts w:cs="Arial"/>
                <w:b/>
                <w:bCs/>
                <w:color w:val="FFFFFF"/>
                <w:sz w:val="18"/>
                <w:szCs w:val="18"/>
                <w:lang w:eastAsia="en-GB"/>
              </w:rPr>
            </w:pPr>
            <w:r w:rsidRPr="00B91524">
              <w:rPr>
                <w:rFonts w:cs="Arial"/>
                <w:b/>
                <w:bCs/>
                <w:caps/>
                <w:color w:val="FFFFFF" w:themeColor="background2"/>
                <w:sz w:val="18"/>
                <w:szCs w:val="18"/>
                <w:lang w:eastAsia="en-GB"/>
              </w:rPr>
              <w:t>Prepared by</w:t>
            </w:r>
          </w:p>
        </w:tc>
        <w:tc>
          <w:tcPr>
            <w:tcW w:w="961" w:type="pct"/>
            <w:tcBorders>
              <w:top w:val="single" w:sz="4" w:space="0" w:color="auto"/>
              <w:left w:val="nil"/>
              <w:bottom w:val="single" w:sz="4" w:space="0" w:color="auto"/>
              <w:right w:val="single" w:sz="4" w:space="0" w:color="auto"/>
            </w:tcBorders>
            <w:shd w:val="clear" w:color="000000" w:fill="1D4477"/>
            <w:vAlign w:val="center"/>
            <w:hideMark/>
          </w:tcPr>
          <w:p w14:paraId="71B64373" w14:textId="77777777" w:rsidR="005E0886" w:rsidRPr="00B91524" w:rsidRDefault="005E0886" w:rsidP="005E0886">
            <w:pPr>
              <w:spacing w:after="0"/>
              <w:jc w:val="center"/>
              <w:rPr>
                <w:rFonts w:cs="Arial"/>
                <w:b/>
                <w:bCs/>
                <w:color w:val="FFFFFF"/>
                <w:sz w:val="18"/>
                <w:szCs w:val="18"/>
                <w:lang w:eastAsia="en-GB"/>
              </w:rPr>
            </w:pPr>
            <w:r w:rsidRPr="00B91524">
              <w:rPr>
                <w:rFonts w:cs="Arial"/>
                <w:b/>
                <w:bCs/>
                <w:caps/>
                <w:color w:val="FFFFFF" w:themeColor="background2"/>
                <w:sz w:val="18"/>
                <w:szCs w:val="18"/>
                <w:lang w:eastAsia="en-GB"/>
              </w:rPr>
              <w:t>Document type</w:t>
            </w:r>
          </w:p>
        </w:tc>
        <w:tc>
          <w:tcPr>
            <w:tcW w:w="812" w:type="pct"/>
            <w:tcBorders>
              <w:top w:val="single" w:sz="4" w:space="0" w:color="auto"/>
              <w:left w:val="nil"/>
              <w:bottom w:val="single" w:sz="4" w:space="0" w:color="auto"/>
              <w:right w:val="single" w:sz="4" w:space="0" w:color="auto"/>
            </w:tcBorders>
            <w:shd w:val="clear" w:color="000000" w:fill="1D4477"/>
            <w:vAlign w:val="center"/>
            <w:hideMark/>
          </w:tcPr>
          <w:p w14:paraId="78469680" w14:textId="77777777" w:rsidR="005E0886" w:rsidRPr="00B91524" w:rsidRDefault="005E0886" w:rsidP="005E0886">
            <w:pPr>
              <w:spacing w:after="0"/>
              <w:jc w:val="center"/>
              <w:rPr>
                <w:rFonts w:cs="Arial"/>
                <w:b/>
                <w:bCs/>
                <w:color w:val="FFFFFF"/>
                <w:sz w:val="18"/>
                <w:szCs w:val="18"/>
                <w:lang w:eastAsia="en-GB"/>
              </w:rPr>
            </w:pPr>
            <w:r w:rsidRPr="00B91524">
              <w:rPr>
                <w:rFonts w:cs="Arial"/>
                <w:b/>
                <w:bCs/>
                <w:caps/>
                <w:color w:val="FFFFFF" w:themeColor="background2"/>
                <w:sz w:val="18"/>
                <w:szCs w:val="18"/>
                <w:lang w:eastAsia="en-GB"/>
              </w:rPr>
              <w:t>Status</w:t>
            </w:r>
          </w:p>
        </w:tc>
      </w:tr>
      <w:tr w:rsidR="005E0886" w:rsidRPr="00B91524" w14:paraId="36063399" w14:textId="77777777" w:rsidTr="005E0886">
        <w:trPr>
          <w:gridAfter w:val="1"/>
          <w:wAfter w:w="143" w:type="pct"/>
          <w:trHeight w:val="1062"/>
        </w:trPr>
        <w:tc>
          <w:tcPr>
            <w:tcW w:w="1888" w:type="pct"/>
            <w:tcBorders>
              <w:top w:val="nil"/>
              <w:left w:val="single" w:sz="4" w:space="0" w:color="auto"/>
              <w:bottom w:val="single" w:sz="4" w:space="0" w:color="auto"/>
              <w:right w:val="single" w:sz="4" w:space="0" w:color="auto"/>
            </w:tcBorders>
            <w:shd w:val="clear" w:color="000000" w:fill="C4D7F0"/>
            <w:vAlign w:val="center"/>
            <w:hideMark/>
          </w:tcPr>
          <w:p w14:paraId="2EF973A0" w14:textId="77777777" w:rsidR="005E0886" w:rsidRPr="00B91524" w:rsidRDefault="005E0886" w:rsidP="005E0886">
            <w:pPr>
              <w:spacing w:after="0"/>
              <w:rPr>
                <w:rFonts w:cs="Arial"/>
                <w:color w:val="000000"/>
                <w:sz w:val="18"/>
                <w:szCs w:val="18"/>
                <w:lang w:eastAsia="en-GB"/>
              </w:rPr>
            </w:pPr>
            <w:r w:rsidRPr="00B91524">
              <w:rPr>
                <w:rFonts w:cs="Arial"/>
                <w:sz w:val="18"/>
                <w:szCs w:val="18"/>
                <w:lang w:eastAsia="en-GB"/>
              </w:rPr>
              <w:t>Dogger Bank Teesside A and B Environmental Statement Chapter 12 Marine and Intertidal Ecology</w:t>
            </w:r>
          </w:p>
        </w:tc>
        <w:tc>
          <w:tcPr>
            <w:tcW w:w="509" w:type="pct"/>
            <w:tcBorders>
              <w:top w:val="nil"/>
              <w:left w:val="nil"/>
              <w:bottom w:val="single" w:sz="4" w:space="0" w:color="auto"/>
              <w:right w:val="single" w:sz="4" w:space="0" w:color="auto"/>
            </w:tcBorders>
            <w:shd w:val="clear" w:color="000000" w:fill="C4D7F0"/>
            <w:vAlign w:val="center"/>
            <w:hideMark/>
          </w:tcPr>
          <w:p w14:paraId="32D59FB0" w14:textId="77777777" w:rsidR="005E0886" w:rsidRPr="00B91524" w:rsidRDefault="005E0886" w:rsidP="005E0886">
            <w:pPr>
              <w:spacing w:after="0"/>
              <w:rPr>
                <w:rFonts w:cs="Arial"/>
                <w:color w:val="000000"/>
                <w:sz w:val="18"/>
                <w:szCs w:val="18"/>
                <w:lang w:eastAsia="en-GB"/>
              </w:rPr>
            </w:pPr>
            <w:r w:rsidRPr="00B91524">
              <w:rPr>
                <w:rFonts w:cs="Arial"/>
                <w:sz w:val="18"/>
                <w:szCs w:val="18"/>
                <w:lang w:eastAsia="en-GB"/>
              </w:rPr>
              <w:t>6.12</w:t>
            </w:r>
          </w:p>
        </w:tc>
        <w:tc>
          <w:tcPr>
            <w:tcW w:w="686" w:type="pct"/>
            <w:tcBorders>
              <w:top w:val="nil"/>
              <w:left w:val="nil"/>
              <w:bottom w:val="single" w:sz="4" w:space="0" w:color="auto"/>
              <w:right w:val="single" w:sz="4" w:space="0" w:color="auto"/>
            </w:tcBorders>
            <w:shd w:val="clear" w:color="000000" w:fill="C4D7F0"/>
            <w:vAlign w:val="center"/>
            <w:hideMark/>
          </w:tcPr>
          <w:p w14:paraId="485BDF41" w14:textId="77777777" w:rsidR="005E0886" w:rsidRPr="00B91524" w:rsidRDefault="005E0886" w:rsidP="005E0886">
            <w:pPr>
              <w:spacing w:after="0"/>
              <w:rPr>
                <w:rFonts w:cs="Arial"/>
                <w:color w:val="000000"/>
                <w:sz w:val="18"/>
                <w:szCs w:val="18"/>
                <w:lang w:eastAsia="en-GB"/>
              </w:rPr>
            </w:pPr>
            <w:proofErr w:type="spellStart"/>
            <w:r w:rsidRPr="00B91524">
              <w:rPr>
                <w:rFonts w:cs="Arial"/>
                <w:sz w:val="18"/>
                <w:szCs w:val="18"/>
                <w:lang w:eastAsia="en-GB"/>
              </w:rPr>
              <w:t>Forewind</w:t>
            </w:r>
            <w:proofErr w:type="spellEnd"/>
          </w:p>
        </w:tc>
        <w:tc>
          <w:tcPr>
            <w:tcW w:w="961" w:type="pct"/>
            <w:tcBorders>
              <w:top w:val="nil"/>
              <w:left w:val="nil"/>
              <w:bottom w:val="single" w:sz="4" w:space="0" w:color="auto"/>
              <w:right w:val="single" w:sz="4" w:space="0" w:color="auto"/>
            </w:tcBorders>
            <w:shd w:val="clear" w:color="000000" w:fill="C4D7F0"/>
            <w:vAlign w:val="center"/>
            <w:hideMark/>
          </w:tcPr>
          <w:p w14:paraId="0790A2EC" w14:textId="77777777" w:rsidR="005E0886" w:rsidRPr="00B91524" w:rsidRDefault="005E0886" w:rsidP="005E0886">
            <w:pPr>
              <w:spacing w:after="0"/>
              <w:rPr>
                <w:rFonts w:cs="Arial"/>
                <w:color w:val="000000"/>
                <w:sz w:val="18"/>
                <w:szCs w:val="18"/>
                <w:lang w:eastAsia="en-GB"/>
              </w:rPr>
            </w:pPr>
            <w:r w:rsidRPr="00B91524">
              <w:rPr>
                <w:rFonts w:cs="Arial"/>
                <w:sz w:val="18"/>
                <w:szCs w:val="18"/>
                <w:lang w:eastAsia="en-GB"/>
              </w:rPr>
              <w:t>Consent application</w:t>
            </w:r>
          </w:p>
        </w:tc>
        <w:tc>
          <w:tcPr>
            <w:tcW w:w="812" w:type="pct"/>
            <w:tcBorders>
              <w:top w:val="nil"/>
              <w:left w:val="nil"/>
              <w:bottom w:val="single" w:sz="4" w:space="0" w:color="auto"/>
              <w:right w:val="single" w:sz="4" w:space="0" w:color="auto"/>
            </w:tcBorders>
            <w:shd w:val="clear" w:color="000000" w:fill="C4D7F0"/>
            <w:vAlign w:val="center"/>
            <w:hideMark/>
          </w:tcPr>
          <w:p w14:paraId="52C6F733" w14:textId="77777777" w:rsidR="005E0886" w:rsidRPr="00B91524" w:rsidRDefault="005E0886" w:rsidP="005E0886">
            <w:pPr>
              <w:spacing w:after="0"/>
              <w:rPr>
                <w:rFonts w:cs="Arial"/>
                <w:color w:val="000000"/>
                <w:sz w:val="18"/>
                <w:szCs w:val="18"/>
                <w:lang w:eastAsia="en-GB"/>
              </w:rPr>
            </w:pPr>
            <w:r w:rsidRPr="00B91524">
              <w:rPr>
                <w:rFonts w:cs="Arial"/>
                <w:sz w:val="18"/>
                <w:szCs w:val="18"/>
                <w:lang w:eastAsia="en-GB"/>
              </w:rPr>
              <w:t>Accepted (August 2015)</w:t>
            </w:r>
          </w:p>
        </w:tc>
      </w:tr>
      <w:tr w:rsidR="005E0886" w:rsidRPr="00B91524" w14:paraId="31A8F646" w14:textId="77777777" w:rsidTr="005E0886">
        <w:trPr>
          <w:gridAfter w:val="1"/>
          <w:wAfter w:w="143" w:type="pct"/>
          <w:trHeight w:val="1072"/>
        </w:trPr>
        <w:tc>
          <w:tcPr>
            <w:tcW w:w="1888" w:type="pct"/>
            <w:tcBorders>
              <w:top w:val="nil"/>
              <w:left w:val="single" w:sz="4" w:space="0" w:color="auto"/>
              <w:bottom w:val="single" w:sz="4" w:space="0" w:color="auto"/>
              <w:right w:val="single" w:sz="4" w:space="0" w:color="auto"/>
            </w:tcBorders>
            <w:shd w:val="clear" w:color="000000" w:fill="C4D7F0"/>
            <w:vAlign w:val="center"/>
            <w:hideMark/>
          </w:tcPr>
          <w:p w14:paraId="26F646C8" w14:textId="77777777" w:rsidR="005E0886" w:rsidRPr="00B91524" w:rsidRDefault="005E0886" w:rsidP="005E0886">
            <w:pPr>
              <w:spacing w:after="0"/>
              <w:rPr>
                <w:rFonts w:cs="Arial"/>
                <w:color w:val="000000"/>
                <w:sz w:val="18"/>
                <w:szCs w:val="18"/>
                <w:lang w:eastAsia="en-GB"/>
              </w:rPr>
            </w:pPr>
            <w:r w:rsidRPr="00B91524">
              <w:rPr>
                <w:rFonts w:cs="Arial"/>
                <w:sz w:val="18"/>
                <w:szCs w:val="18"/>
                <w:lang w:eastAsia="en-GB"/>
              </w:rPr>
              <w:t>Dogger Bank Teesside A and B Offshore In Principle Monitoring Plan</w:t>
            </w:r>
          </w:p>
        </w:tc>
        <w:tc>
          <w:tcPr>
            <w:tcW w:w="509" w:type="pct"/>
            <w:tcBorders>
              <w:top w:val="nil"/>
              <w:left w:val="nil"/>
              <w:bottom w:val="single" w:sz="4" w:space="0" w:color="auto"/>
              <w:right w:val="single" w:sz="4" w:space="0" w:color="auto"/>
            </w:tcBorders>
            <w:shd w:val="clear" w:color="000000" w:fill="C4D7F0"/>
            <w:vAlign w:val="center"/>
            <w:hideMark/>
          </w:tcPr>
          <w:p w14:paraId="51062419" w14:textId="77777777" w:rsidR="005E0886" w:rsidRPr="00B91524" w:rsidRDefault="005E0886" w:rsidP="005E0886">
            <w:pPr>
              <w:spacing w:after="0"/>
              <w:rPr>
                <w:rFonts w:cs="Arial"/>
                <w:color w:val="000000"/>
                <w:sz w:val="18"/>
                <w:szCs w:val="18"/>
                <w:lang w:eastAsia="en-GB"/>
              </w:rPr>
            </w:pPr>
            <w:r w:rsidRPr="00B91524">
              <w:rPr>
                <w:rFonts w:cs="Arial"/>
                <w:sz w:val="18"/>
                <w:szCs w:val="18"/>
                <w:lang w:eastAsia="en-GB"/>
              </w:rPr>
              <w:t>F-EXL-DIX-010</w:t>
            </w:r>
          </w:p>
        </w:tc>
        <w:tc>
          <w:tcPr>
            <w:tcW w:w="686" w:type="pct"/>
            <w:tcBorders>
              <w:top w:val="nil"/>
              <w:left w:val="nil"/>
              <w:bottom w:val="single" w:sz="4" w:space="0" w:color="auto"/>
              <w:right w:val="single" w:sz="4" w:space="0" w:color="auto"/>
            </w:tcBorders>
            <w:shd w:val="clear" w:color="000000" w:fill="C4D7F0"/>
            <w:vAlign w:val="center"/>
            <w:hideMark/>
          </w:tcPr>
          <w:p w14:paraId="73A3AAD2" w14:textId="77777777" w:rsidR="005E0886" w:rsidRPr="00B91524" w:rsidRDefault="005E0886" w:rsidP="005E0886">
            <w:pPr>
              <w:spacing w:after="0"/>
              <w:rPr>
                <w:rFonts w:cs="Arial"/>
                <w:color w:val="000000"/>
                <w:sz w:val="18"/>
                <w:szCs w:val="18"/>
                <w:lang w:eastAsia="en-GB"/>
              </w:rPr>
            </w:pPr>
            <w:proofErr w:type="spellStart"/>
            <w:r w:rsidRPr="00B91524">
              <w:rPr>
                <w:rFonts w:cs="Arial"/>
                <w:sz w:val="18"/>
                <w:szCs w:val="18"/>
                <w:lang w:eastAsia="en-GB"/>
              </w:rPr>
              <w:t>Forewind</w:t>
            </w:r>
            <w:proofErr w:type="spellEnd"/>
          </w:p>
        </w:tc>
        <w:tc>
          <w:tcPr>
            <w:tcW w:w="961" w:type="pct"/>
            <w:tcBorders>
              <w:top w:val="nil"/>
              <w:left w:val="nil"/>
              <w:bottom w:val="single" w:sz="4" w:space="0" w:color="auto"/>
              <w:right w:val="single" w:sz="4" w:space="0" w:color="auto"/>
            </w:tcBorders>
            <w:shd w:val="clear" w:color="000000" w:fill="C4D7F0"/>
            <w:vAlign w:val="center"/>
            <w:hideMark/>
          </w:tcPr>
          <w:p w14:paraId="68DD2F06" w14:textId="77777777" w:rsidR="005E0886" w:rsidRPr="00B91524" w:rsidRDefault="005E0886" w:rsidP="005E0886">
            <w:pPr>
              <w:spacing w:after="0"/>
              <w:rPr>
                <w:rFonts w:cs="Arial"/>
                <w:color w:val="000000"/>
                <w:sz w:val="18"/>
                <w:szCs w:val="18"/>
                <w:lang w:eastAsia="en-GB"/>
              </w:rPr>
            </w:pPr>
            <w:r w:rsidRPr="00B91524">
              <w:rPr>
                <w:rFonts w:cs="Arial"/>
                <w:sz w:val="18"/>
                <w:szCs w:val="18"/>
                <w:lang w:eastAsia="en-GB"/>
              </w:rPr>
              <w:t>Consent application</w:t>
            </w:r>
          </w:p>
        </w:tc>
        <w:tc>
          <w:tcPr>
            <w:tcW w:w="812" w:type="pct"/>
            <w:tcBorders>
              <w:top w:val="nil"/>
              <w:left w:val="nil"/>
              <w:bottom w:val="single" w:sz="4" w:space="0" w:color="auto"/>
              <w:right w:val="single" w:sz="4" w:space="0" w:color="auto"/>
            </w:tcBorders>
            <w:shd w:val="clear" w:color="000000" w:fill="C4D7F0"/>
            <w:vAlign w:val="center"/>
            <w:hideMark/>
          </w:tcPr>
          <w:p w14:paraId="0861F963" w14:textId="77777777" w:rsidR="005E0886" w:rsidRPr="00B91524" w:rsidRDefault="005E0886" w:rsidP="005E0886">
            <w:pPr>
              <w:spacing w:after="0"/>
              <w:rPr>
                <w:rFonts w:cs="Arial"/>
                <w:color w:val="000000"/>
                <w:sz w:val="18"/>
                <w:szCs w:val="18"/>
                <w:lang w:eastAsia="en-GB"/>
              </w:rPr>
            </w:pPr>
            <w:r w:rsidRPr="00B91524">
              <w:rPr>
                <w:rFonts w:cs="Arial"/>
                <w:sz w:val="18"/>
                <w:szCs w:val="18"/>
                <w:lang w:eastAsia="en-GB"/>
              </w:rPr>
              <w:t>Accepted (August 2015)</w:t>
            </w:r>
          </w:p>
        </w:tc>
      </w:tr>
      <w:tr w:rsidR="005E0886" w:rsidRPr="00B91524" w14:paraId="28F4A043" w14:textId="77777777" w:rsidTr="005E0886">
        <w:trPr>
          <w:gridAfter w:val="1"/>
          <w:wAfter w:w="143" w:type="pct"/>
          <w:trHeight w:val="1838"/>
        </w:trPr>
        <w:tc>
          <w:tcPr>
            <w:tcW w:w="1888" w:type="pct"/>
            <w:tcBorders>
              <w:top w:val="nil"/>
              <w:left w:val="single" w:sz="4" w:space="0" w:color="auto"/>
              <w:bottom w:val="single" w:sz="4" w:space="0" w:color="auto"/>
              <w:right w:val="single" w:sz="4" w:space="0" w:color="auto"/>
            </w:tcBorders>
            <w:shd w:val="clear" w:color="000000" w:fill="C4D7F0"/>
            <w:vAlign w:val="center"/>
            <w:hideMark/>
          </w:tcPr>
          <w:p w14:paraId="39FCB4D2" w14:textId="77777777" w:rsidR="005E0886" w:rsidRPr="00B91524" w:rsidRDefault="005E0886" w:rsidP="005E0886">
            <w:pPr>
              <w:spacing w:after="0"/>
              <w:rPr>
                <w:rFonts w:cs="Arial"/>
                <w:color w:val="000000"/>
                <w:sz w:val="18"/>
                <w:szCs w:val="18"/>
                <w:lang w:eastAsia="en-GB"/>
              </w:rPr>
            </w:pPr>
            <w:r w:rsidRPr="00B91524">
              <w:rPr>
                <w:rFonts w:cs="Arial"/>
                <w:sz w:val="18"/>
                <w:lang w:eastAsia="en-GB"/>
              </w:rPr>
              <w:t>Dogger Bank Teesside A and B Offshore Wind Farm – Non Material Change Application Regulation 63 of the Conservation of Habitats and Species Regulations 2017, and Regulation 28 of the Conservation of Offshore Marine Habitats and Species Regulations 2017 (The “Habitats Regulations”)</w:t>
            </w:r>
          </w:p>
        </w:tc>
        <w:tc>
          <w:tcPr>
            <w:tcW w:w="509" w:type="pct"/>
            <w:tcBorders>
              <w:top w:val="nil"/>
              <w:left w:val="nil"/>
              <w:bottom w:val="single" w:sz="4" w:space="0" w:color="auto"/>
              <w:right w:val="single" w:sz="4" w:space="0" w:color="auto"/>
            </w:tcBorders>
            <w:shd w:val="clear" w:color="000000" w:fill="C4D7F0"/>
            <w:vAlign w:val="center"/>
            <w:hideMark/>
          </w:tcPr>
          <w:p w14:paraId="2EB1AA84" w14:textId="77777777" w:rsidR="005E0886" w:rsidRPr="00B91524" w:rsidRDefault="005E0886" w:rsidP="005E0886">
            <w:pPr>
              <w:spacing w:after="0"/>
              <w:rPr>
                <w:rFonts w:cs="Arial"/>
                <w:color w:val="000000"/>
                <w:sz w:val="18"/>
                <w:szCs w:val="18"/>
                <w:lang w:eastAsia="en-GB"/>
              </w:rPr>
            </w:pPr>
            <w:r w:rsidRPr="00B91524">
              <w:rPr>
                <w:rFonts w:cs="Arial"/>
                <w:color w:val="000000"/>
                <w:sz w:val="18"/>
                <w:szCs w:val="18"/>
                <w:lang w:eastAsia="en-GB"/>
              </w:rPr>
              <w:t> </w:t>
            </w:r>
          </w:p>
        </w:tc>
        <w:tc>
          <w:tcPr>
            <w:tcW w:w="686" w:type="pct"/>
            <w:tcBorders>
              <w:top w:val="nil"/>
              <w:left w:val="nil"/>
              <w:bottom w:val="single" w:sz="4" w:space="0" w:color="auto"/>
              <w:right w:val="single" w:sz="4" w:space="0" w:color="auto"/>
            </w:tcBorders>
            <w:shd w:val="clear" w:color="000000" w:fill="C4D7F0"/>
            <w:vAlign w:val="center"/>
            <w:hideMark/>
          </w:tcPr>
          <w:p w14:paraId="70E755B4" w14:textId="77777777" w:rsidR="005E0886" w:rsidRPr="00B91524" w:rsidRDefault="005E0886" w:rsidP="005E0886">
            <w:pPr>
              <w:spacing w:after="0"/>
              <w:rPr>
                <w:rFonts w:cs="Arial"/>
                <w:color w:val="000000"/>
                <w:sz w:val="18"/>
                <w:szCs w:val="18"/>
                <w:lang w:eastAsia="en-GB"/>
              </w:rPr>
            </w:pPr>
            <w:r w:rsidRPr="00B91524">
              <w:rPr>
                <w:rFonts w:cs="Arial"/>
                <w:sz w:val="18"/>
                <w:lang w:eastAsia="en-GB"/>
              </w:rPr>
              <w:t xml:space="preserve">Department of Energy &amp; Climate Change </w:t>
            </w:r>
          </w:p>
        </w:tc>
        <w:tc>
          <w:tcPr>
            <w:tcW w:w="961" w:type="pct"/>
            <w:tcBorders>
              <w:top w:val="nil"/>
              <w:left w:val="nil"/>
              <w:bottom w:val="single" w:sz="4" w:space="0" w:color="auto"/>
              <w:right w:val="single" w:sz="4" w:space="0" w:color="auto"/>
            </w:tcBorders>
            <w:shd w:val="clear" w:color="000000" w:fill="C4D7F0"/>
            <w:vAlign w:val="center"/>
            <w:hideMark/>
          </w:tcPr>
          <w:p w14:paraId="75CFCCBA" w14:textId="77777777" w:rsidR="005E0886" w:rsidRPr="00B91524" w:rsidRDefault="005E0886" w:rsidP="005E0886">
            <w:pPr>
              <w:spacing w:after="0"/>
              <w:rPr>
                <w:rFonts w:cs="Arial"/>
                <w:color w:val="000000"/>
                <w:sz w:val="18"/>
                <w:szCs w:val="18"/>
                <w:lang w:eastAsia="en-GB"/>
              </w:rPr>
            </w:pPr>
            <w:r w:rsidRPr="00B91524">
              <w:rPr>
                <w:rFonts w:cs="Arial"/>
                <w:sz w:val="18"/>
                <w:szCs w:val="18"/>
                <w:lang w:eastAsia="en-GB"/>
              </w:rPr>
              <w:t>Consent determination</w:t>
            </w:r>
          </w:p>
        </w:tc>
        <w:tc>
          <w:tcPr>
            <w:tcW w:w="812" w:type="pct"/>
            <w:tcBorders>
              <w:top w:val="nil"/>
              <w:left w:val="nil"/>
              <w:bottom w:val="single" w:sz="4" w:space="0" w:color="auto"/>
              <w:right w:val="single" w:sz="4" w:space="0" w:color="auto"/>
            </w:tcBorders>
            <w:shd w:val="clear" w:color="000000" w:fill="C4D7F0"/>
            <w:vAlign w:val="center"/>
            <w:hideMark/>
          </w:tcPr>
          <w:p w14:paraId="3FEE02F7" w14:textId="77777777" w:rsidR="005E0886" w:rsidRPr="00B91524" w:rsidRDefault="005E0886" w:rsidP="005E0886">
            <w:pPr>
              <w:spacing w:after="0"/>
              <w:rPr>
                <w:rFonts w:cs="Arial"/>
                <w:color w:val="000000"/>
                <w:sz w:val="18"/>
                <w:szCs w:val="18"/>
                <w:lang w:eastAsia="en-GB"/>
              </w:rPr>
            </w:pPr>
            <w:r w:rsidRPr="00B91524">
              <w:rPr>
                <w:rFonts w:cs="Arial"/>
                <w:sz w:val="18"/>
                <w:szCs w:val="18"/>
                <w:lang w:eastAsia="en-GB"/>
              </w:rPr>
              <w:t>Accepted (August 2015)</w:t>
            </w:r>
          </w:p>
        </w:tc>
      </w:tr>
      <w:tr w:rsidR="005E0886" w:rsidRPr="00B91524" w14:paraId="4320674B" w14:textId="77777777" w:rsidTr="005E0886">
        <w:trPr>
          <w:gridAfter w:val="1"/>
          <w:wAfter w:w="143" w:type="pct"/>
          <w:trHeight w:val="1978"/>
        </w:trPr>
        <w:tc>
          <w:tcPr>
            <w:tcW w:w="1888" w:type="pct"/>
            <w:tcBorders>
              <w:top w:val="nil"/>
              <w:left w:val="single" w:sz="4" w:space="0" w:color="auto"/>
              <w:bottom w:val="single" w:sz="4" w:space="0" w:color="auto"/>
              <w:right w:val="single" w:sz="4" w:space="0" w:color="auto"/>
            </w:tcBorders>
            <w:shd w:val="clear" w:color="000000" w:fill="C4D7F0"/>
            <w:vAlign w:val="center"/>
            <w:hideMark/>
          </w:tcPr>
          <w:p w14:paraId="4BB4FEB5" w14:textId="77777777" w:rsidR="005E0886" w:rsidRPr="00B91524" w:rsidRDefault="005E0886" w:rsidP="005E0886">
            <w:pPr>
              <w:spacing w:after="0"/>
              <w:rPr>
                <w:rFonts w:cs="Arial"/>
                <w:color w:val="000000"/>
                <w:sz w:val="18"/>
                <w:szCs w:val="18"/>
                <w:lang w:eastAsia="en-GB"/>
              </w:rPr>
            </w:pPr>
            <w:r w:rsidRPr="00B91524">
              <w:rPr>
                <w:rFonts w:cs="Arial"/>
                <w:sz w:val="18"/>
                <w:lang w:eastAsia="en-GB"/>
              </w:rPr>
              <w:t>Record Of The Habitats Regulations Assessment Undertaken Under Regulation 61 Of The Conservation Of Habitats And Species Regulations 2010 (As Amended) And Regulation 25 Of The Offshore Habitats Regulations For An Application Under The Planning Act 2008 (As Amended)</w:t>
            </w:r>
          </w:p>
        </w:tc>
        <w:tc>
          <w:tcPr>
            <w:tcW w:w="509" w:type="pct"/>
            <w:tcBorders>
              <w:top w:val="nil"/>
              <w:left w:val="nil"/>
              <w:bottom w:val="single" w:sz="4" w:space="0" w:color="auto"/>
              <w:right w:val="single" w:sz="4" w:space="0" w:color="auto"/>
            </w:tcBorders>
            <w:shd w:val="clear" w:color="000000" w:fill="C4D7F0"/>
            <w:vAlign w:val="center"/>
            <w:hideMark/>
          </w:tcPr>
          <w:p w14:paraId="799C53D2" w14:textId="77777777" w:rsidR="005E0886" w:rsidRPr="00B91524" w:rsidRDefault="005E0886" w:rsidP="005E0886">
            <w:pPr>
              <w:spacing w:after="0"/>
              <w:rPr>
                <w:rFonts w:cs="Arial"/>
                <w:color w:val="000000"/>
                <w:sz w:val="18"/>
                <w:szCs w:val="18"/>
                <w:lang w:eastAsia="en-GB"/>
              </w:rPr>
            </w:pPr>
            <w:r w:rsidRPr="00B91524">
              <w:rPr>
                <w:rFonts w:cs="Arial"/>
                <w:color w:val="000000"/>
                <w:sz w:val="18"/>
                <w:szCs w:val="18"/>
                <w:lang w:eastAsia="en-GB"/>
              </w:rPr>
              <w:t> </w:t>
            </w:r>
          </w:p>
        </w:tc>
        <w:tc>
          <w:tcPr>
            <w:tcW w:w="686" w:type="pct"/>
            <w:tcBorders>
              <w:top w:val="nil"/>
              <w:left w:val="nil"/>
              <w:bottom w:val="single" w:sz="4" w:space="0" w:color="auto"/>
              <w:right w:val="single" w:sz="4" w:space="0" w:color="auto"/>
            </w:tcBorders>
            <w:shd w:val="clear" w:color="000000" w:fill="C4D7F0"/>
            <w:vAlign w:val="center"/>
            <w:hideMark/>
          </w:tcPr>
          <w:p w14:paraId="7D4898F8" w14:textId="77777777" w:rsidR="005E0886" w:rsidRPr="00B91524" w:rsidRDefault="005E0886" w:rsidP="005E0886">
            <w:pPr>
              <w:spacing w:after="0"/>
              <w:rPr>
                <w:rFonts w:cs="Arial"/>
                <w:color w:val="000000"/>
                <w:sz w:val="18"/>
                <w:szCs w:val="18"/>
                <w:lang w:eastAsia="en-GB"/>
              </w:rPr>
            </w:pPr>
            <w:r w:rsidRPr="00B91524">
              <w:rPr>
                <w:rFonts w:cs="Arial"/>
                <w:sz w:val="18"/>
                <w:szCs w:val="18"/>
                <w:lang w:eastAsia="en-GB"/>
              </w:rPr>
              <w:t>Department for Business, Energy and Industrial Strategy</w:t>
            </w:r>
          </w:p>
        </w:tc>
        <w:tc>
          <w:tcPr>
            <w:tcW w:w="961" w:type="pct"/>
            <w:tcBorders>
              <w:top w:val="nil"/>
              <w:left w:val="nil"/>
              <w:bottom w:val="single" w:sz="4" w:space="0" w:color="auto"/>
              <w:right w:val="single" w:sz="4" w:space="0" w:color="auto"/>
            </w:tcBorders>
            <w:shd w:val="clear" w:color="000000" w:fill="C4D7F0"/>
            <w:vAlign w:val="center"/>
            <w:hideMark/>
          </w:tcPr>
          <w:p w14:paraId="652161B2" w14:textId="77777777" w:rsidR="005E0886" w:rsidRPr="00B91524" w:rsidRDefault="005E0886" w:rsidP="005E0886">
            <w:pPr>
              <w:spacing w:after="0"/>
              <w:rPr>
                <w:rFonts w:cs="Arial"/>
                <w:color w:val="000000"/>
                <w:sz w:val="18"/>
                <w:szCs w:val="18"/>
                <w:lang w:eastAsia="en-GB"/>
              </w:rPr>
            </w:pPr>
            <w:r w:rsidRPr="00B91524">
              <w:rPr>
                <w:rFonts w:cs="Arial"/>
                <w:sz w:val="18"/>
                <w:szCs w:val="18"/>
                <w:lang w:eastAsia="en-GB"/>
              </w:rPr>
              <w:t>Consent determination</w:t>
            </w:r>
          </w:p>
        </w:tc>
        <w:tc>
          <w:tcPr>
            <w:tcW w:w="812" w:type="pct"/>
            <w:tcBorders>
              <w:top w:val="nil"/>
              <w:left w:val="nil"/>
              <w:bottom w:val="single" w:sz="4" w:space="0" w:color="auto"/>
              <w:right w:val="single" w:sz="4" w:space="0" w:color="auto"/>
            </w:tcBorders>
            <w:shd w:val="clear" w:color="000000" w:fill="C4D7F0"/>
            <w:vAlign w:val="center"/>
            <w:hideMark/>
          </w:tcPr>
          <w:p w14:paraId="4CADD064" w14:textId="77777777" w:rsidR="005E0886" w:rsidRPr="00B91524" w:rsidRDefault="005E0886" w:rsidP="005E0886">
            <w:pPr>
              <w:spacing w:after="0"/>
              <w:rPr>
                <w:rFonts w:cs="Arial"/>
                <w:color w:val="000000"/>
                <w:sz w:val="18"/>
                <w:szCs w:val="18"/>
                <w:lang w:eastAsia="en-GB"/>
              </w:rPr>
            </w:pPr>
            <w:r w:rsidRPr="00B91524">
              <w:rPr>
                <w:rFonts w:cs="Arial"/>
                <w:sz w:val="18"/>
                <w:szCs w:val="18"/>
                <w:lang w:eastAsia="en-GB"/>
              </w:rPr>
              <w:t>Accepted (August 2015)</w:t>
            </w:r>
          </w:p>
        </w:tc>
      </w:tr>
      <w:tr w:rsidR="005E0886" w:rsidRPr="00B91524" w14:paraId="09D49EA8" w14:textId="77777777" w:rsidTr="005E0886">
        <w:trPr>
          <w:gridAfter w:val="1"/>
          <w:wAfter w:w="143" w:type="pct"/>
          <w:trHeight w:val="1127"/>
        </w:trPr>
        <w:tc>
          <w:tcPr>
            <w:tcW w:w="1888" w:type="pct"/>
            <w:tcBorders>
              <w:top w:val="nil"/>
              <w:left w:val="single" w:sz="4" w:space="0" w:color="auto"/>
              <w:bottom w:val="single" w:sz="4" w:space="0" w:color="auto"/>
              <w:right w:val="single" w:sz="4" w:space="0" w:color="auto"/>
            </w:tcBorders>
            <w:shd w:val="clear" w:color="000000" w:fill="C4D7F0"/>
            <w:vAlign w:val="center"/>
            <w:hideMark/>
          </w:tcPr>
          <w:p w14:paraId="4D276F5A" w14:textId="77777777" w:rsidR="005E0886" w:rsidRPr="00B91524" w:rsidRDefault="005E0886" w:rsidP="005E0886">
            <w:pPr>
              <w:spacing w:after="0"/>
              <w:rPr>
                <w:rFonts w:cs="Arial"/>
                <w:color w:val="000000"/>
                <w:sz w:val="18"/>
                <w:szCs w:val="18"/>
                <w:lang w:eastAsia="en-GB"/>
              </w:rPr>
            </w:pPr>
            <w:r w:rsidRPr="00B91524">
              <w:rPr>
                <w:rFonts w:cs="Arial"/>
                <w:sz w:val="18"/>
                <w:lang w:eastAsia="en-GB"/>
              </w:rPr>
              <w:t xml:space="preserve">SOWFL (2019a) Detailed Construction and Monitoring Programme: Geophysical (Bathymetrical) Monitoring Plan. </w:t>
            </w:r>
          </w:p>
        </w:tc>
        <w:tc>
          <w:tcPr>
            <w:tcW w:w="509" w:type="pct"/>
            <w:tcBorders>
              <w:top w:val="nil"/>
              <w:left w:val="nil"/>
              <w:bottom w:val="single" w:sz="4" w:space="0" w:color="auto"/>
              <w:right w:val="single" w:sz="4" w:space="0" w:color="auto"/>
            </w:tcBorders>
            <w:shd w:val="clear" w:color="000000" w:fill="C4D7F0"/>
            <w:vAlign w:val="center"/>
            <w:hideMark/>
          </w:tcPr>
          <w:p w14:paraId="7CE7B7FE" w14:textId="77777777" w:rsidR="005E0886" w:rsidRPr="00B91524" w:rsidRDefault="005E0886" w:rsidP="005E0886">
            <w:pPr>
              <w:spacing w:after="0"/>
              <w:rPr>
                <w:rFonts w:cs="Arial"/>
                <w:color w:val="000000"/>
                <w:sz w:val="18"/>
                <w:szCs w:val="18"/>
                <w:lang w:eastAsia="en-GB"/>
              </w:rPr>
            </w:pPr>
            <w:r w:rsidRPr="00B91524">
              <w:rPr>
                <w:rFonts w:cs="Arial"/>
                <w:sz w:val="18"/>
                <w:lang w:eastAsia="en-GB"/>
              </w:rPr>
              <w:t>003090255-04</w:t>
            </w:r>
          </w:p>
        </w:tc>
        <w:tc>
          <w:tcPr>
            <w:tcW w:w="686" w:type="pct"/>
            <w:tcBorders>
              <w:top w:val="nil"/>
              <w:left w:val="nil"/>
              <w:bottom w:val="single" w:sz="4" w:space="0" w:color="auto"/>
              <w:right w:val="single" w:sz="4" w:space="0" w:color="auto"/>
            </w:tcBorders>
            <w:shd w:val="clear" w:color="000000" w:fill="C4D7F0"/>
            <w:vAlign w:val="center"/>
            <w:hideMark/>
          </w:tcPr>
          <w:p w14:paraId="608A857B" w14:textId="77777777" w:rsidR="005E0886" w:rsidRPr="00B91524" w:rsidRDefault="005E0886" w:rsidP="005E0886">
            <w:pPr>
              <w:spacing w:after="0"/>
              <w:rPr>
                <w:rFonts w:cs="Arial"/>
                <w:color w:val="000000"/>
                <w:sz w:val="18"/>
                <w:szCs w:val="18"/>
                <w:lang w:eastAsia="en-GB"/>
              </w:rPr>
            </w:pPr>
            <w:r w:rsidRPr="00B91524">
              <w:rPr>
                <w:rFonts w:cs="Arial"/>
                <w:color w:val="000000"/>
                <w:sz w:val="18"/>
                <w:szCs w:val="18"/>
                <w:lang w:eastAsia="en-GB"/>
              </w:rPr>
              <w:t>SOWFL</w:t>
            </w:r>
          </w:p>
        </w:tc>
        <w:tc>
          <w:tcPr>
            <w:tcW w:w="961" w:type="pct"/>
            <w:tcBorders>
              <w:top w:val="nil"/>
              <w:left w:val="nil"/>
              <w:bottom w:val="single" w:sz="4" w:space="0" w:color="auto"/>
              <w:right w:val="single" w:sz="4" w:space="0" w:color="auto"/>
            </w:tcBorders>
            <w:shd w:val="clear" w:color="000000" w:fill="C4D7F0"/>
            <w:vAlign w:val="center"/>
            <w:hideMark/>
          </w:tcPr>
          <w:p w14:paraId="3D2FA36A" w14:textId="77777777" w:rsidR="005E0886" w:rsidRPr="00B91524" w:rsidRDefault="005E0886" w:rsidP="005E0886">
            <w:pPr>
              <w:spacing w:after="0"/>
              <w:rPr>
                <w:rFonts w:cs="Arial"/>
                <w:color w:val="000000"/>
                <w:sz w:val="18"/>
                <w:szCs w:val="18"/>
                <w:lang w:eastAsia="en-GB"/>
              </w:rPr>
            </w:pPr>
            <w:r w:rsidRPr="00B91524">
              <w:rPr>
                <w:rFonts w:cs="Arial"/>
                <w:sz w:val="18"/>
                <w:szCs w:val="18"/>
                <w:lang w:eastAsia="en-GB"/>
              </w:rPr>
              <w:t>Approved Management Plan</w:t>
            </w:r>
          </w:p>
        </w:tc>
        <w:tc>
          <w:tcPr>
            <w:tcW w:w="812" w:type="pct"/>
            <w:tcBorders>
              <w:top w:val="nil"/>
              <w:left w:val="nil"/>
              <w:bottom w:val="single" w:sz="4" w:space="0" w:color="auto"/>
              <w:right w:val="single" w:sz="4" w:space="0" w:color="auto"/>
            </w:tcBorders>
            <w:shd w:val="clear" w:color="000000" w:fill="C4D7F0"/>
            <w:vAlign w:val="center"/>
            <w:hideMark/>
          </w:tcPr>
          <w:p w14:paraId="679CEA47" w14:textId="77777777" w:rsidR="005E0886" w:rsidRPr="00B91524" w:rsidRDefault="005E0886" w:rsidP="005E0886">
            <w:pPr>
              <w:spacing w:after="0"/>
              <w:rPr>
                <w:rFonts w:cs="Arial"/>
                <w:color w:val="000000"/>
                <w:sz w:val="18"/>
                <w:szCs w:val="18"/>
                <w:lang w:eastAsia="en-GB"/>
              </w:rPr>
            </w:pPr>
            <w:r w:rsidRPr="00B91524">
              <w:rPr>
                <w:rFonts w:cs="Arial"/>
                <w:sz w:val="18"/>
                <w:szCs w:val="18"/>
                <w:lang w:eastAsia="en-GB"/>
              </w:rPr>
              <w:t>Submitted to the MMO (Approved December 2019)</w:t>
            </w:r>
          </w:p>
        </w:tc>
      </w:tr>
      <w:tr w:rsidR="005E0886" w:rsidRPr="00B91524" w14:paraId="3BFFDF03" w14:textId="77777777" w:rsidTr="005E0886">
        <w:trPr>
          <w:gridAfter w:val="1"/>
          <w:wAfter w:w="143" w:type="pct"/>
          <w:trHeight w:val="973"/>
        </w:trPr>
        <w:tc>
          <w:tcPr>
            <w:tcW w:w="1888" w:type="pct"/>
            <w:tcBorders>
              <w:top w:val="nil"/>
              <w:left w:val="single" w:sz="4" w:space="0" w:color="auto"/>
              <w:bottom w:val="single" w:sz="4" w:space="0" w:color="auto"/>
              <w:right w:val="single" w:sz="4" w:space="0" w:color="auto"/>
            </w:tcBorders>
            <w:shd w:val="clear" w:color="000000" w:fill="C4D7F0"/>
            <w:vAlign w:val="center"/>
            <w:hideMark/>
          </w:tcPr>
          <w:p w14:paraId="3CD745FC" w14:textId="77777777" w:rsidR="005E0886" w:rsidRPr="00B91524" w:rsidRDefault="005E0886" w:rsidP="005E0886">
            <w:pPr>
              <w:spacing w:after="0"/>
              <w:rPr>
                <w:rFonts w:cs="Arial"/>
                <w:color w:val="000000"/>
                <w:sz w:val="18"/>
                <w:szCs w:val="18"/>
                <w:lang w:eastAsia="en-GB"/>
              </w:rPr>
            </w:pPr>
            <w:r w:rsidRPr="00B91524">
              <w:rPr>
                <w:rFonts w:cs="Arial"/>
                <w:sz w:val="18"/>
                <w:lang w:eastAsia="en-GB"/>
              </w:rPr>
              <w:t>SOWFL (2019b) Sofia Offshore Wind Farm: Sofia Offshore Wind Farm: Project Update Meeting with Natural England: 20th August 2019: Benthic Note</w:t>
            </w:r>
          </w:p>
        </w:tc>
        <w:tc>
          <w:tcPr>
            <w:tcW w:w="509" w:type="pct"/>
            <w:tcBorders>
              <w:top w:val="nil"/>
              <w:left w:val="nil"/>
              <w:bottom w:val="single" w:sz="4" w:space="0" w:color="auto"/>
              <w:right w:val="single" w:sz="4" w:space="0" w:color="auto"/>
            </w:tcBorders>
            <w:shd w:val="clear" w:color="000000" w:fill="C4D7F0"/>
            <w:vAlign w:val="center"/>
            <w:hideMark/>
          </w:tcPr>
          <w:p w14:paraId="29A49BCE" w14:textId="77777777" w:rsidR="005E0886" w:rsidRPr="00B91524" w:rsidRDefault="005E0886" w:rsidP="005E0886">
            <w:pPr>
              <w:spacing w:after="0"/>
              <w:rPr>
                <w:rFonts w:cs="Arial"/>
                <w:color w:val="000000"/>
                <w:sz w:val="18"/>
                <w:szCs w:val="18"/>
                <w:lang w:eastAsia="en-GB"/>
              </w:rPr>
            </w:pPr>
            <w:r w:rsidRPr="00B91524">
              <w:rPr>
                <w:rFonts w:cs="Arial"/>
                <w:sz w:val="18"/>
                <w:lang w:eastAsia="en-GB"/>
              </w:rPr>
              <w:t>003235279-01</w:t>
            </w:r>
          </w:p>
        </w:tc>
        <w:tc>
          <w:tcPr>
            <w:tcW w:w="686" w:type="pct"/>
            <w:tcBorders>
              <w:top w:val="nil"/>
              <w:left w:val="nil"/>
              <w:bottom w:val="single" w:sz="4" w:space="0" w:color="auto"/>
              <w:right w:val="single" w:sz="4" w:space="0" w:color="auto"/>
            </w:tcBorders>
            <w:shd w:val="clear" w:color="000000" w:fill="C4D7F0"/>
            <w:vAlign w:val="center"/>
            <w:hideMark/>
          </w:tcPr>
          <w:p w14:paraId="2AF9FDB6" w14:textId="77777777" w:rsidR="005E0886" w:rsidRPr="00B91524" w:rsidRDefault="005E0886" w:rsidP="005E0886">
            <w:pPr>
              <w:spacing w:after="0"/>
              <w:rPr>
                <w:rFonts w:cs="Arial"/>
                <w:color w:val="000000"/>
                <w:sz w:val="18"/>
                <w:szCs w:val="18"/>
                <w:lang w:eastAsia="en-GB"/>
              </w:rPr>
            </w:pPr>
            <w:r w:rsidRPr="00B91524">
              <w:rPr>
                <w:rFonts w:cs="Arial"/>
                <w:color w:val="000000"/>
                <w:sz w:val="18"/>
                <w:szCs w:val="18"/>
                <w:lang w:eastAsia="en-GB"/>
              </w:rPr>
              <w:t>SOWFL and Ocean Ecology Ltd.</w:t>
            </w:r>
          </w:p>
        </w:tc>
        <w:tc>
          <w:tcPr>
            <w:tcW w:w="961" w:type="pct"/>
            <w:tcBorders>
              <w:top w:val="nil"/>
              <w:left w:val="nil"/>
              <w:bottom w:val="single" w:sz="4" w:space="0" w:color="auto"/>
              <w:right w:val="single" w:sz="4" w:space="0" w:color="auto"/>
            </w:tcBorders>
            <w:shd w:val="clear" w:color="000000" w:fill="C4D7F0"/>
            <w:vAlign w:val="center"/>
            <w:hideMark/>
          </w:tcPr>
          <w:p w14:paraId="5386FAB8" w14:textId="77777777" w:rsidR="005E0886" w:rsidRPr="00B91524" w:rsidRDefault="005E0886" w:rsidP="005E0886">
            <w:pPr>
              <w:spacing w:after="0"/>
              <w:rPr>
                <w:rFonts w:cs="Arial"/>
                <w:color w:val="000000"/>
                <w:sz w:val="18"/>
                <w:szCs w:val="18"/>
                <w:lang w:eastAsia="en-GB"/>
              </w:rPr>
            </w:pPr>
            <w:r w:rsidRPr="00B91524">
              <w:rPr>
                <w:rFonts w:cs="Arial"/>
                <w:sz w:val="18"/>
                <w:szCs w:val="18"/>
                <w:lang w:eastAsia="en-GB"/>
              </w:rPr>
              <w:t>Supporting document to inform discussions at workshop</w:t>
            </w:r>
          </w:p>
        </w:tc>
        <w:tc>
          <w:tcPr>
            <w:tcW w:w="812" w:type="pct"/>
            <w:tcBorders>
              <w:top w:val="nil"/>
              <w:left w:val="nil"/>
              <w:bottom w:val="single" w:sz="4" w:space="0" w:color="auto"/>
              <w:right w:val="single" w:sz="4" w:space="0" w:color="auto"/>
            </w:tcBorders>
            <w:shd w:val="clear" w:color="000000" w:fill="C4D7F0"/>
            <w:vAlign w:val="center"/>
            <w:hideMark/>
          </w:tcPr>
          <w:p w14:paraId="7C4D493F" w14:textId="77777777" w:rsidR="005E0886" w:rsidRPr="00B91524" w:rsidRDefault="005E0886" w:rsidP="005E0886">
            <w:pPr>
              <w:spacing w:after="0"/>
              <w:rPr>
                <w:rFonts w:cs="Arial"/>
                <w:color w:val="000000"/>
                <w:sz w:val="18"/>
                <w:szCs w:val="18"/>
                <w:lang w:eastAsia="en-GB"/>
              </w:rPr>
            </w:pPr>
            <w:r w:rsidRPr="00B91524">
              <w:rPr>
                <w:rFonts w:cs="Arial"/>
                <w:sz w:val="18"/>
                <w:szCs w:val="18"/>
                <w:lang w:eastAsia="en-GB"/>
              </w:rPr>
              <w:t>Submitted to Natural England (August 2019)</w:t>
            </w:r>
          </w:p>
        </w:tc>
      </w:tr>
      <w:tr w:rsidR="005E0886" w:rsidRPr="00B91524" w14:paraId="6126D3D3" w14:textId="77777777" w:rsidTr="005E0886">
        <w:trPr>
          <w:gridAfter w:val="1"/>
          <w:wAfter w:w="143" w:type="pct"/>
          <w:trHeight w:val="1432"/>
        </w:trPr>
        <w:tc>
          <w:tcPr>
            <w:tcW w:w="1888" w:type="pct"/>
            <w:vMerge w:val="restart"/>
            <w:tcBorders>
              <w:top w:val="nil"/>
              <w:left w:val="single" w:sz="4" w:space="0" w:color="auto"/>
              <w:bottom w:val="single" w:sz="4" w:space="0" w:color="auto"/>
              <w:right w:val="single" w:sz="4" w:space="0" w:color="auto"/>
            </w:tcBorders>
            <w:shd w:val="clear" w:color="000000" w:fill="C4D7F0"/>
            <w:vAlign w:val="center"/>
            <w:hideMark/>
          </w:tcPr>
          <w:p w14:paraId="621B49EF" w14:textId="77777777" w:rsidR="005E0886" w:rsidRPr="00B91524" w:rsidRDefault="005E0886" w:rsidP="005E0886">
            <w:pPr>
              <w:spacing w:after="0"/>
              <w:rPr>
                <w:rFonts w:cs="Arial"/>
                <w:color w:val="000000"/>
                <w:sz w:val="18"/>
                <w:szCs w:val="18"/>
                <w:lang w:eastAsia="en-GB"/>
              </w:rPr>
            </w:pPr>
            <w:r w:rsidRPr="00B91524">
              <w:rPr>
                <w:rFonts w:cs="Arial"/>
                <w:sz w:val="18"/>
                <w:lang w:eastAsia="en-GB"/>
              </w:rPr>
              <w:t>SOWFL (2019c) Sofia Offshore Wind Farm: Benthic Monitoring Plan: Supporting Studies</w:t>
            </w:r>
          </w:p>
        </w:tc>
        <w:tc>
          <w:tcPr>
            <w:tcW w:w="509" w:type="pct"/>
            <w:vMerge w:val="restart"/>
            <w:tcBorders>
              <w:top w:val="nil"/>
              <w:left w:val="single" w:sz="4" w:space="0" w:color="auto"/>
              <w:bottom w:val="single" w:sz="4" w:space="0" w:color="auto"/>
              <w:right w:val="single" w:sz="4" w:space="0" w:color="auto"/>
            </w:tcBorders>
            <w:shd w:val="clear" w:color="000000" w:fill="C4D7F0"/>
            <w:vAlign w:val="center"/>
            <w:hideMark/>
          </w:tcPr>
          <w:p w14:paraId="4BF0397A" w14:textId="77777777" w:rsidR="005E0886" w:rsidRPr="00B91524" w:rsidRDefault="005E0886" w:rsidP="005E0886">
            <w:pPr>
              <w:spacing w:after="0"/>
              <w:rPr>
                <w:rFonts w:cs="Arial"/>
                <w:color w:val="000000"/>
                <w:sz w:val="18"/>
                <w:szCs w:val="18"/>
                <w:lang w:eastAsia="en-GB"/>
              </w:rPr>
            </w:pPr>
            <w:r w:rsidRPr="00B91524">
              <w:rPr>
                <w:rFonts w:cs="Arial"/>
                <w:sz w:val="18"/>
                <w:lang w:eastAsia="en-GB"/>
              </w:rPr>
              <w:t>003097005-01</w:t>
            </w:r>
          </w:p>
        </w:tc>
        <w:tc>
          <w:tcPr>
            <w:tcW w:w="686" w:type="pct"/>
            <w:vMerge w:val="restart"/>
            <w:tcBorders>
              <w:top w:val="nil"/>
              <w:left w:val="single" w:sz="4" w:space="0" w:color="auto"/>
              <w:bottom w:val="single" w:sz="4" w:space="0" w:color="auto"/>
              <w:right w:val="single" w:sz="4" w:space="0" w:color="auto"/>
            </w:tcBorders>
            <w:shd w:val="clear" w:color="000000" w:fill="C4D7F0"/>
            <w:vAlign w:val="center"/>
            <w:hideMark/>
          </w:tcPr>
          <w:p w14:paraId="59D9ED7D" w14:textId="77777777" w:rsidR="005E0886" w:rsidRPr="00B91524" w:rsidRDefault="005E0886" w:rsidP="005E0886">
            <w:pPr>
              <w:spacing w:after="0"/>
              <w:rPr>
                <w:rFonts w:cs="Arial"/>
                <w:color w:val="000000"/>
                <w:sz w:val="18"/>
                <w:szCs w:val="18"/>
                <w:lang w:eastAsia="en-GB"/>
              </w:rPr>
            </w:pPr>
            <w:r w:rsidRPr="00B91524">
              <w:rPr>
                <w:rFonts w:cs="Arial"/>
                <w:color w:val="000000"/>
                <w:sz w:val="18"/>
                <w:szCs w:val="18"/>
                <w:lang w:eastAsia="en-GB"/>
              </w:rPr>
              <w:t xml:space="preserve">SOWFL and Ocean Ecology Ltd. </w:t>
            </w:r>
          </w:p>
        </w:tc>
        <w:tc>
          <w:tcPr>
            <w:tcW w:w="961" w:type="pct"/>
            <w:vMerge w:val="restart"/>
            <w:tcBorders>
              <w:top w:val="nil"/>
              <w:left w:val="single" w:sz="4" w:space="0" w:color="auto"/>
              <w:bottom w:val="single" w:sz="4" w:space="0" w:color="auto"/>
              <w:right w:val="single" w:sz="4" w:space="0" w:color="auto"/>
            </w:tcBorders>
            <w:shd w:val="clear" w:color="000000" w:fill="C4D7F0"/>
            <w:vAlign w:val="center"/>
            <w:hideMark/>
          </w:tcPr>
          <w:p w14:paraId="1878AB08" w14:textId="77777777" w:rsidR="005E0886" w:rsidRPr="00B91524" w:rsidRDefault="005E0886" w:rsidP="005E0886">
            <w:pPr>
              <w:spacing w:after="0"/>
              <w:rPr>
                <w:rFonts w:cs="Arial"/>
                <w:color w:val="000000"/>
                <w:sz w:val="18"/>
                <w:szCs w:val="18"/>
                <w:lang w:eastAsia="en-GB"/>
              </w:rPr>
            </w:pPr>
            <w:r w:rsidRPr="00B91524">
              <w:rPr>
                <w:rFonts w:cs="Arial"/>
                <w:sz w:val="18"/>
                <w:szCs w:val="18"/>
                <w:lang w:eastAsia="en-GB"/>
              </w:rPr>
              <w:t>Supporting document to inform scope of BMP</w:t>
            </w:r>
          </w:p>
        </w:tc>
        <w:tc>
          <w:tcPr>
            <w:tcW w:w="812" w:type="pct"/>
            <w:vMerge w:val="restart"/>
            <w:tcBorders>
              <w:top w:val="nil"/>
              <w:left w:val="single" w:sz="4" w:space="0" w:color="auto"/>
              <w:bottom w:val="single" w:sz="4" w:space="0" w:color="auto"/>
              <w:right w:val="single" w:sz="4" w:space="0" w:color="auto"/>
            </w:tcBorders>
            <w:shd w:val="clear" w:color="000000" w:fill="C4D7F0"/>
            <w:vAlign w:val="center"/>
            <w:hideMark/>
          </w:tcPr>
          <w:p w14:paraId="6846047B" w14:textId="77777777" w:rsidR="005E0886" w:rsidRPr="00B91524" w:rsidRDefault="005E0886" w:rsidP="005E0886">
            <w:pPr>
              <w:spacing w:after="0"/>
              <w:rPr>
                <w:rFonts w:cs="Arial"/>
                <w:color w:val="000000"/>
                <w:sz w:val="18"/>
                <w:szCs w:val="18"/>
                <w:lang w:eastAsia="en-GB"/>
              </w:rPr>
            </w:pPr>
            <w:r w:rsidRPr="00B91524">
              <w:rPr>
                <w:rFonts w:cs="Arial"/>
                <w:sz w:val="18"/>
                <w:szCs w:val="18"/>
                <w:lang w:eastAsia="en-GB"/>
              </w:rPr>
              <w:t>Submitted to the MMO and Natural England (November 2019)</w:t>
            </w:r>
          </w:p>
        </w:tc>
      </w:tr>
      <w:tr w:rsidR="005E0886" w:rsidRPr="00B91524" w14:paraId="32A8216E" w14:textId="77777777" w:rsidTr="005E0886">
        <w:trPr>
          <w:trHeight w:val="70"/>
        </w:trPr>
        <w:tc>
          <w:tcPr>
            <w:tcW w:w="1888" w:type="pct"/>
            <w:vMerge/>
            <w:tcBorders>
              <w:top w:val="nil"/>
              <w:left w:val="single" w:sz="4" w:space="0" w:color="auto"/>
              <w:bottom w:val="single" w:sz="4" w:space="0" w:color="auto"/>
              <w:right w:val="single" w:sz="4" w:space="0" w:color="auto"/>
            </w:tcBorders>
            <w:vAlign w:val="center"/>
            <w:hideMark/>
          </w:tcPr>
          <w:p w14:paraId="29992A22" w14:textId="77777777" w:rsidR="005E0886" w:rsidRPr="00B91524" w:rsidRDefault="005E0886" w:rsidP="005E0886">
            <w:pPr>
              <w:spacing w:after="0"/>
              <w:rPr>
                <w:rFonts w:cs="Arial"/>
                <w:color w:val="000000"/>
                <w:sz w:val="18"/>
                <w:szCs w:val="18"/>
                <w:lang w:eastAsia="en-GB"/>
              </w:rPr>
            </w:pPr>
          </w:p>
        </w:tc>
        <w:tc>
          <w:tcPr>
            <w:tcW w:w="509" w:type="pct"/>
            <w:vMerge/>
            <w:tcBorders>
              <w:top w:val="nil"/>
              <w:left w:val="single" w:sz="4" w:space="0" w:color="auto"/>
              <w:bottom w:val="single" w:sz="4" w:space="0" w:color="auto"/>
              <w:right w:val="single" w:sz="4" w:space="0" w:color="auto"/>
            </w:tcBorders>
            <w:vAlign w:val="center"/>
            <w:hideMark/>
          </w:tcPr>
          <w:p w14:paraId="73F22414" w14:textId="77777777" w:rsidR="005E0886" w:rsidRPr="00B91524" w:rsidRDefault="005E0886" w:rsidP="005E0886">
            <w:pPr>
              <w:spacing w:after="0"/>
              <w:rPr>
                <w:rFonts w:cs="Arial"/>
                <w:color w:val="000000"/>
                <w:sz w:val="18"/>
                <w:szCs w:val="18"/>
                <w:lang w:eastAsia="en-GB"/>
              </w:rPr>
            </w:pPr>
          </w:p>
        </w:tc>
        <w:tc>
          <w:tcPr>
            <w:tcW w:w="686" w:type="pct"/>
            <w:vMerge/>
            <w:tcBorders>
              <w:top w:val="nil"/>
              <w:left w:val="single" w:sz="4" w:space="0" w:color="auto"/>
              <w:bottom w:val="single" w:sz="4" w:space="0" w:color="auto"/>
              <w:right w:val="single" w:sz="4" w:space="0" w:color="auto"/>
            </w:tcBorders>
            <w:vAlign w:val="center"/>
            <w:hideMark/>
          </w:tcPr>
          <w:p w14:paraId="2B5F0947" w14:textId="77777777" w:rsidR="005E0886" w:rsidRPr="00B91524" w:rsidRDefault="005E0886" w:rsidP="005E0886">
            <w:pPr>
              <w:spacing w:after="0"/>
              <w:rPr>
                <w:rFonts w:cs="Arial"/>
                <w:color w:val="000000"/>
                <w:sz w:val="18"/>
                <w:szCs w:val="18"/>
                <w:lang w:eastAsia="en-GB"/>
              </w:rPr>
            </w:pPr>
          </w:p>
        </w:tc>
        <w:tc>
          <w:tcPr>
            <w:tcW w:w="961" w:type="pct"/>
            <w:vMerge/>
            <w:tcBorders>
              <w:top w:val="nil"/>
              <w:left w:val="single" w:sz="4" w:space="0" w:color="auto"/>
              <w:bottom w:val="single" w:sz="4" w:space="0" w:color="auto"/>
              <w:right w:val="single" w:sz="4" w:space="0" w:color="auto"/>
            </w:tcBorders>
            <w:vAlign w:val="center"/>
            <w:hideMark/>
          </w:tcPr>
          <w:p w14:paraId="77F3C5ED" w14:textId="77777777" w:rsidR="005E0886" w:rsidRPr="00B91524" w:rsidRDefault="005E0886" w:rsidP="005E0886">
            <w:pPr>
              <w:spacing w:after="0"/>
              <w:rPr>
                <w:rFonts w:cs="Arial"/>
                <w:color w:val="000000"/>
                <w:sz w:val="18"/>
                <w:szCs w:val="18"/>
                <w:lang w:eastAsia="en-GB"/>
              </w:rPr>
            </w:pPr>
          </w:p>
        </w:tc>
        <w:tc>
          <w:tcPr>
            <w:tcW w:w="812" w:type="pct"/>
            <w:vMerge/>
            <w:tcBorders>
              <w:top w:val="nil"/>
              <w:left w:val="single" w:sz="4" w:space="0" w:color="auto"/>
              <w:bottom w:val="single" w:sz="4" w:space="0" w:color="auto"/>
              <w:right w:val="single" w:sz="4" w:space="0" w:color="auto"/>
            </w:tcBorders>
            <w:vAlign w:val="center"/>
            <w:hideMark/>
          </w:tcPr>
          <w:p w14:paraId="5DFD0CD5" w14:textId="77777777" w:rsidR="005E0886" w:rsidRPr="00B91524" w:rsidRDefault="005E0886" w:rsidP="005E0886">
            <w:pPr>
              <w:spacing w:after="0"/>
              <w:rPr>
                <w:rFonts w:cs="Arial"/>
                <w:color w:val="000000"/>
                <w:sz w:val="18"/>
                <w:szCs w:val="18"/>
                <w:lang w:eastAsia="en-GB"/>
              </w:rPr>
            </w:pPr>
          </w:p>
        </w:tc>
        <w:tc>
          <w:tcPr>
            <w:tcW w:w="143" w:type="pct"/>
            <w:tcBorders>
              <w:top w:val="nil"/>
              <w:left w:val="nil"/>
              <w:bottom w:val="nil"/>
              <w:right w:val="nil"/>
            </w:tcBorders>
            <w:shd w:val="clear" w:color="auto" w:fill="auto"/>
            <w:noWrap/>
            <w:vAlign w:val="bottom"/>
            <w:hideMark/>
          </w:tcPr>
          <w:p w14:paraId="4FE22B68" w14:textId="77777777" w:rsidR="005E0886" w:rsidRPr="00B91524" w:rsidRDefault="005E0886" w:rsidP="005E0886">
            <w:pPr>
              <w:spacing w:after="0"/>
              <w:rPr>
                <w:rFonts w:cs="Arial"/>
                <w:color w:val="000000"/>
                <w:sz w:val="18"/>
                <w:szCs w:val="18"/>
                <w:lang w:eastAsia="en-GB"/>
              </w:rPr>
            </w:pPr>
          </w:p>
        </w:tc>
      </w:tr>
      <w:tr w:rsidR="005E0886" w:rsidRPr="00B91524" w14:paraId="3D1AFD26" w14:textId="77777777" w:rsidTr="005E0886">
        <w:trPr>
          <w:trHeight w:val="1172"/>
        </w:trPr>
        <w:tc>
          <w:tcPr>
            <w:tcW w:w="1888" w:type="pct"/>
            <w:tcBorders>
              <w:top w:val="nil"/>
              <w:left w:val="single" w:sz="4" w:space="0" w:color="auto"/>
              <w:bottom w:val="single" w:sz="4" w:space="0" w:color="auto"/>
              <w:right w:val="single" w:sz="4" w:space="0" w:color="auto"/>
            </w:tcBorders>
            <w:shd w:val="clear" w:color="000000" w:fill="C4D7F0"/>
            <w:vAlign w:val="center"/>
            <w:hideMark/>
          </w:tcPr>
          <w:p w14:paraId="77173AF8" w14:textId="77777777" w:rsidR="005E0886" w:rsidRPr="00B91524" w:rsidRDefault="005E0886" w:rsidP="005E0886">
            <w:pPr>
              <w:spacing w:after="0"/>
              <w:rPr>
                <w:rFonts w:cs="Arial"/>
                <w:color w:val="000000"/>
                <w:sz w:val="18"/>
                <w:szCs w:val="18"/>
                <w:lang w:eastAsia="en-GB"/>
              </w:rPr>
            </w:pPr>
            <w:r w:rsidRPr="00B91524">
              <w:rPr>
                <w:rFonts w:cs="Arial"/>
                <w:sz w:val="18"/>
                <w:szCs w:val="18"/>
                <w:lang w:eastAsia="en-GB"/>
              </w:rPr>
              <w:t>Pre: construction plans and documentation: Detailed Construction and Monitoring Programme</w:t>
            </w:r>
          </w:p>
        </w:tc>
        <w:tc>
          <w:tcPr>
            <w:tcW w:w="509" w:type="pct"/>
            <w:tcBorders>
              <w:top w:val="nil"/>
              <w:left w:val="nil"/>
              <w:bottom w:val="single" w:sz="4" w:space="0" w:color="auto"/>
              <w:right w:val="single" w:sz="4" w:space="0" w:color="auto"/>
            </w:tcBorders>
            <w:shd w:val="clear" w:color="000000" w:fill="C4D7F0"/>
            <w:vAlign w:val="center"/>
            <w:hideMark/>
          </w:tcPr>
          <w:p w14:paraId="513E3D45" w14:textId="77777777" w:rsidR="005E0886" w:rsidRPr="00B91524" w:rsidRDefault="005E0886" w:rsidP="005E0886">
            <w:pPr>
              <w:spacing w:after="0"/>
              <w:rPr>
                <w:rFonts w:cs="Arial"/>
                <w:color w:val="000000"/>
                <w:sz w:val="18"/>
                <w:szCs w:val="18"/>
                <w:lang w:eastAsia="en-GB"/>
              </w:rPr>
            </w:pPr>
            <w:r w:rsidRPr="00B91524">
              <w:rPr>
                <w:rFonts w:cs="Arial"/>
                <w:sz w:val="18"/>
                <w:szCs w:val="18"/>
                <w:lang w:eastAsia="en-GB"/>
              </w:rPr>
              <w:t>003454725-01</w:t>
            </w:r>
          </w:p>
        </w:tc>
        <w:tc>
          <w:tcPr>
            <w:tcW w:w="686" w:type="pct"/>
            <w:tcBorders>
              <w:top w:val="nil"/>
              <w:left w:val="nil"/>
              <w:bottom w:val="single" w:sz="4" w:space="0" w:color="auto"/>
              <w:right w:val="single" w:sz="4" w:space="0" w:color="auto"/>
            </w:tcBorders>
            <w:shd w:val="clear" w:color="000000" w:fill="C4D7F0"/>
            <w:vAlign w:val="center"/>
            <w:hideMark/>
          </w:tcPr>
          <w:p w14:paraId="5BC15F99" w14:textId="77777777" w:rsidR="005E0886" w:rsidRPr="00B91524" w:rsidRDefault="005E0886" w:rsidP="005E0886">
            <w:pPr>
              <w:spacing w:after="0"/>
              <w:rPr>
                <w:rFonts w:cs="Arial"/>
                <w:color w:val="000000"/>
                <w:sz w:val="18"/>
                <w:szCs w:val="18"/>
                <w:lang w:eastAsia="en-GB"/>
              </w:rPr>
            </w:pPr>
            <w:r w:rsidRPr="00B91524">
              <w:rPr>
                <w:rFonts w:cs="Arial"/>
                <w:sz w:val="18"/>
                <w:szCs w:val="18"/>
                <w:lang w:eastAsia="en-GB"/>
              </w:rPr>
              <w:t>SOWFL</w:t>
            </w:r>
          </w:p>
        </w:tc>
        <w:tc>
          <w:tcPr>
            <w:tcW w:w="961" w:type="pct"/>
            <w:tcBorders>
              <w:top w:val="nil"/>
              <w:left w:val="nil"/>
              <w:bottom w:val="single" w:sz="4" w:space="0" w:color="auto"/>
              <w:right w:val="single" w:sz="4" w:space="0" w:color="auto"/>
            </w:tcBorders>
            <w:shd w:val="clear" w:color="000000" w:fill="C4D7F0"/>
            <w:vAlign w:val="center"/>
            <w:hideMark/>
          </w:tcPr>
          <w:p w14:paraId="247D6120" w14:textId="77777777" w:rsidR="005E0886" w:rsidRPr="00B91524" w:rsidRDefault="005E0886" w:rsidP="005E0886">
            <w:pPr>
              <w:spacing w:after="0"/>
              <w:rPr>
                <w:rFonts w:cs="Arial"/>
                <w:color w:val="000000"/>
                <w:sz w:val="18"/>
                <w:szCs w:val="18"/>
                <w:lang w:eastAsia="en-GB"/>
              </w:rPr>
            </w:pPr>
            <w:r w:rsidRPr="00B91524">
              <w:rPr>
                <w:rFonts w:cs="Arial"/>
                <w:sz w:val="18"/>
                <w:szCs w:val="18"/>
                <w:lang w:eastAsia="en-GB"/>
              </w:rPr>
              <w:t>Management plan for approval</w:t>
            </w:r>
          </w:p>
        </w:tc>
        <w:tc>
          <w:tcPr>
            <w:tcW w:w="812" w:type="pct"/>
            <w:tcBorders>
              <w:top w:val="nil"/>
              <w:left w:val="nil"/>
              <w:bottom w:val="single" w:sz="4" w:space="0" w:color="auto"/>
              <w:right w:val="single" w:sz="4" w:space="0" w:color="auto"/>
            </w:tcBorders>
            <w:shd w:val="clear" w:color="000000" w:fill="C4D7F0"/>
            <w:vAlign w:val="center"/>
            <w:hideMark/>
          </w:tcPr>
          <w:p w14:paraId="7903DBB8" w14:textId="77777777" w:rsidR="005E0886" w:rsidRPr="00B91524" w:rsidRDefault="005E0886" w:rsidP="005E0886">
            <w:pPr>
              <w:spacing w:after="0"/>
              <w:rPr>
                <w:rFonts w:cs="Arial"/>
                <w:color w:val="000000"/>
                <w:sz w:val="18"/>
                <w:szCs w:val="18"/>
                <w:lang w:eastAsia="en-GB"/>
              </w:rPr>
            </w:pPr>
            <w:r w:rsidRPr="00B91524">
              <w:rPr>
                <w:rFonts w:cs="Arial"/>
                <w:sz w:val="18"/>
                <w:szCs w:val="18"/>
                <w:lang w:eastAsia="en-GB"/>
              </w:rPr>
              <w:t>This document will be submitted to the MMO for approval.</w:t>
            </w:r>
          </w:p>
        </w:tc>
        <w:tc>
          <w:tcPr>
            <w:tcW w:w="143" w:type="pct"/>
            <w:vAlign w:val="center"/>
            <w:hideMark/>
          </w:tcPr>
          <w:p w14:paraId="24110C8B" w14:textId="77777777" w:rsidR="005E0886" w:rsidRPr="00B91524" w:rsidRDefault="005E0886" w:rsidP="005E0886">
            <w:pPr>
              <w:spacing w:after="0"/>
              <w:rPr>
                <w:rFonts w:ascii="Times New Roman" w:hAnsi="Times New Roman"/>
                <w:sz w:val="20"/>
                <w:lang w:eastAsia="en-GB"/>
              </w:rPr>
            </w:pPr>
          </w:p>
        </w:tc>
      </w:tr>
    </w:tbl>
    <w:p w14:paraId="7FFD9CF3" w14:textId="77777777" w:rsidR="005E0886" w:rsidRPr="00B91524" w:rsidRDefault="005E0886" w:rsidP="005E0886">
      <w:pPr>
        <w:tabs>
          <w:tab w:val="left" w:pos="1530"/>
        </w:tabs>
        <w:rPr>
          <w:rFonts w:eastAsia="Calibri" w:cs="Arial"/>
          <w:noProof/>
          <w:color w:val="7F7F7F"/>
          <w:sz w:val="16"/>
          <w:szCs w:val="16"/>
          <w:lang w:eastAsia="en-GB"/>
        </w:rPr>
      </w:pPr>
    </w:p>
    <w:p w14:paraId="7383FAA7" w14:textId="0D5FAC7C" w:rsidR="005E0886" w:rsidRPr="00B91524" w:rsidRDefault="005E0886" w:rsidP="008256A0">
      <w:pPr>
        <w:pStyle w:val="Appendix"/>
        <w:rPr>
          <w:lang w:eastAsia="en-GB"/>
        </w:rPr>
      </w:pPr>
      <w:r w:rsidRPr="00B91524">
        <w:rPr>
          <w:lang w:eastAsia="en-GB"/>
        </w:rPr>
        <w:lastRenderedPageBreak/>
        <w:tab/>
      </w:r>
      <w:bookmarkStart w:id="147" w:name="_Toc74670353"/>
      <w:r w:rsidR="008256A0" w:rsidRPr="00B91524">
        <w:rPr>
          <w:lang w:eastAsia="en-GB"/>
        </w:rPr>
        <w:t>final sampling design – nearshore (out to K</w:t>
      </w:r>
      <w:r w:rsidR="00311919" w:rsidRPr="00B91524">
        <w:rPr>
          <w:lang w:eastAsia="en-GB"/>
        </w:rPr>
        <w:t>ilomet</w:t>
      </w:r>
      <w:r w:rsidR="008B5D96" w:rsidRPr="00B91524">
        <w:rPr>
          <w:lang w:eastAsia="en-GB"/>
        </w:rPr>
        <w:t>re</w:t>
      </w:r>
      <w:r w:rsidR="00311919" w:rsidRPr="00B91524">
        <w:rPr>
          <w:lang w:eastAsia="en-GB"/>
        </w:rPr>
        <w:t xml:space="preserve"> </w:t>
      </w:r>
      <w:r w:rsidR="008256A0" w:rsidRPr="00B91524">
        <w:rPr>
          <w:lang w:eastAsia="en-GB"/>
        </w:rPr>
        <w:t>P</w:t>
      </w:r>
      <w:r w:rsidR="00311919" w:rsidRPr="00B91524">
        <w:rPr>
          <w:lang w:eastAsia="en-GB"/>
        </w:rPr>
        <w:t>oint</w:t>
      </w:r>
      <w:r w:rsidR="008256A0" w:rsidRPr="00B91524">
        <w:rPr>
          <w:lang w:eastAsia="en-GB"/>
        </w:rPr>
        <w:t xml:space="preserve"> 10)</w:t>
      </w:r>
      <w:bookmarkEnd w:id="147"/>
    </w:p>
    <w:p w14:paraId="1D531F14" w14:textId="77777777" w:rsidR="008256A0" w:rsidRPr="00B91524" w:rsidRDefault="008256A0" w:rsidP="0009712F">
      <w:pPr>
        <w:jc w:val="both"/>
        <w:rPr>
          <w:rFonts w:eastAsia="Calibri"/>
        </w:rPr>
      </w:pPr>
    </w:p>
    <w:p w14:paraId="36B675F6" w14:textId="3D69588B" w:rsidR="00BF382F" w:rsidRPr="00B91524" w:rsidRDefault="006B1EBC" w:rsidP="0009712F">
      <w:pPr>
        <w:jc w:val="both"/>
      </w:pPr>
      <w:r w:rsidRPr="00B91524">
        <w:rPr>
          <w:rFonts w:eastAsia="Calibri"/>
        </w:rPr>
        <w:t xml:space="preserve">The samples in the nearshore have been selected to gather baseline data on a </w:t>
      </w:r>
      <w:r w:rsidR="001C792E" w:rsidRPr="00B91524">
        <w:rPr>
          <w:rFonts w:eastAsia="Calibri"/>
        </w:rPr>
        <w:t xml:space="preserve">representative </w:t>
      </w:r>
      <w:r w:rsidRPr="00B91524">
        <w:rPr>
          <w:rFonts w:eastAsia="Calibri"/>
        </w:rPr>
        <w:t xml:space="preserve">number of features </w:t>
      </w:r>
      <w:r w:rsidR="001C792E" w:rsidRPr="00B91524">
        <w:t>of each of the habitat(s) confirmed to be present within the proposed construction areas from the 2020 geophysical data</w:t>
      </w:r>
      <w:r w:rsidR="006C7811" w:rsidRPr="00B91524">
        <w:t xml:space="preserve"> and also include the two options for the HDD exit point that are currently being considered.</w:t>
      </w:r>
      <w:r w:rsidR="00BF382F" w:rsidRPr="00B91524">
        <w:t xml:space="preserve"> </w:t>
      </w:r>
      <w:r w:rsidR="006C7811" w:rsidRPr="00B91524">
        <w:t>The figure</w:t>
      </w:r>
      <w:r w:rsidR="0062681C" w:rsidRPr="00B91524">
        <w:t>s</w:t>
      </w:r>
      <w:r w:rsidR="006C7811" w:rsidRPr="00B91524">
        <w:t xml:space="preserve"> below show the </w:t>
      </w:r>
      <w:r w:rsidR="0062681C" w:rsidRPr="00B91524">
        <w:t xml:space="preserve">proposed </w:t>
      </w:r>
      <w:r w:rsidR="006C7811" w:rsidRPr="00B91524">
        <w:t>transects</w:t>
      </w:r>
      <w:r w:rsidR="0062681C" w:rsidRPr="00B91524">
        <w:t xml:space="preserve"> at the two potential HDD exit points</w:t>
      </w:r>
      <w:r w:rsidR="008B5D96" w:rsidRPr="00B91524">
        <w:t xml:space="preserve"> and three further features of focus out to KP10</w:t>
      </w:r>
      <w:r w:rsidR="0062681C" w:rsidRPr="00B91524">
        <w:t>.</w:t>
      </w:r>
      <w:r w:rsidR="006C7811" w:rsidRPr="00B91524">
        <w:t xml:space="preserve"> </w:t>
      </w:r>
      <w:r w:rsidR="00BF382F" w:rsidRPr="00B91524">
        <w:t>The table</w:t>
      </w:r>
      <w:r w:rsidR="008B5D96" w:rsidRPr="00B91524">
        <w:t xml:space="preserve"> that follows </w:t>
      </w:r>
      <w:r w:rsidR="00BF382F" w:rsidRPr="00B91524">
        <w:t>provide</w:t>
      </w:r>
      <w:r w:rsidR="008B5D96" w:rsidRPr="00B91524">
        <w:t>s</w:t>
      </w:r>
      <w:r w:rsidR="00BF382F" w:rsidRPr="00B91524">
        <w:t xml:space="preserve"> the rationale for the choice of transect along with the coordinates for the start and end of each transect.</w:t>
      </w:r>
    </w:p>
    <w:p w14:paraId="17AFC104" w14:textId="77777777" w:rsidR="00BF382F" w:rsidRPr="00B91524" w:rsidRDefault="00BF382F" w:rsidP="00C77585"/>
    <w:p w14:paraId="640E2A7E" w14:textId="1CAB14E9" w:rsidR="00E84E04" w:rsidRPr="00B91524" w:rsidRDefault="0054659E" w:rsidP="00C77585">
      <w:r w:rsidRPr="00B91524">
        <w:rPr>
          <w:noProof/>
        </w:rPr>
        <w:drawing>
          <wp:inline distT="0" distB="0" distL="0" distR="0" wp14:anchorId="66133787" wp14:editId="7E65D58F">
            <wp:extent cx="5667154" cy="4039870"/>
            <wp:effectExtent l="19050" t="19050" r="10160" b="1778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44" cstate="print">
                      <a:extLst>
                        <a:ext uri="{28A0092B-C50C-407E-A947-70E740481C1C}">
                          <a14:useLocalDpi xmlns:a14="http://schemas.microsoft.com/office/drawing/2010/main" val="0"/>
                        </a:ext>
                      </a:extLst>
                    </a:blip>
                    <a:srcRect l="6008" t="4856" r="2493" b="2880"/>
                    <a:stretch/>
                  </pic:blipFill>
                  <pic:spPr bwMode="auto">
                    <a:xfrm>
                      <a:off x="0" y="0"/>
                      <a:ext cx="5668440" cy="4040787"/>
                    </a:xfrm>
                    <a:prstGeom prst="rect">
                      <a:avLst/>
                    </a:prstGeom>
                    <a:noFill/>
                    <a:ln>
                      <a:solidFill>
                        <a:schemeClr val="tx1"/>
                      </a:solidFill>
                    </a:ln>
                    <a:extLst>
                      <a:ext uri="{53640926-AAD7-44D8-BBD7-CCE9431645EC}">
                        <a14:shadowObscured xmlns:a14="http://schemas.microsoft.com/office/drawing/2010/main"/>
                      </a:ext>
                    </a:extLst>
                  </pic:spPr>
                </pic:pic>
              </a:graphicData>
            </a:graphic>
          </wp:inline>
        </w:drawing>
      </w:r>
    </w:p>
    <w:p w14:paraId="0127C9E2" w14:textId="56F959C1" w:rsidR="00E84E04" w:rsidRPr="00B91524" w:rsidRDefault="00E84E04" w:rsidP="00E84E04">
      <w:pPr>
        <w:rPr>
          <w:b/>
          <w:bCs/>
          <w:sz w:val="18"/>
          <w:szCs w:val="16"/>
        </w:rPr>
      </w:pPr>
      <w:bookmarkStart w:id="148" w:name="_Toc62048813"/>
      <w:r w:rsidRPr="00B91524">
        <w:rPr>
          <w:b/>
          <w:bCs/>
          <w:sz w:val="18"/>
          <w:szCs w:val="16"/>
        </w:rPr>
        <w:t>Figure I</w:t>
      </w:r>
      <w:r w:rsidRPr="00B91524">
        <w:rPr>
          <w:b/>
          <w:bCs/>
          <w:sz w:val="18"/>
          <w:szCs w:val="16"/>
        </w:rPr>
        <w:noBreakHyphen/>
      </w:r>
      <w:r w:rsidRPr="00B91524">
        <w:rPr>
          <w:b/>
          <w:bCs/>
          <w:sz w:val="18"/>
          <w:szCs w:val="16"/>
        </w:rPr>
        <w:fldChar w:fldCharType="begin"/>
      </w:r>
      <w:r w:rsidRPr="00B91524">
        <w:rPr>
          <w:b/>
          <w:bCs/>
          <w:sz w:val="18"/>
          <w:szCs w:val="16"/>
        </w:rPr>
        <w:instrText xml:space="preserve"> SEQ Figure \* ARABIC \s 1 </w:instrText>
      </w:r>
      <w:r w:rsidRPr="00B91524">
        <w:rPr>
          <w:b/>
          <w:bCs/>
          <w:sz w:val="18"/>
          <w:szCs w:val="16"/>
        </w:rPr>
        <w:fldChar w:fldCharType="separate"/>
      </w:r>
      <w:r w:rsidR="00683595">
        <w:rPr>
          <w:b/>
          <w:bCs/>
          <w:noProof/>
          <w:sz w:val="18"/>
          <w:szCs w:val="16"/>
        </w:rPr>
        <w:t>1</w:t>
      </w:r>
      <w:r w:rsidRPr="00B91524">
        <w:rPr>
          <w:b/>
          <w:bCs/>
          <w:sz w:val="18"/>
          <w:szCs w:val="16"/>
        </w:rPr>
        <w:fldChar w:fldCharType="end"/>
      </w:r>
      <w:r w:rsidRPr="00B91524">
        <w:rPr>
          <w:b/>
          <w:bCs/>
          <w:sz w:val="18"/>
          <w:szCs w:val="16"/>
        </w:rPr>
        <w:t xml:space="preserve"> Overview of nearshore BMP DDC transects</w:t>
      </w:r>
      <w:r w:rsidR="008215B5" w:rsidRPr="00B91524">
        <w:rPr>
          <w:b/>
          <w:bCs/>
          <w:sz w:val="18"/>
          <w:szCs w:val="16"/>
        </w:rPr>
        <w:t xml:space="preserve"> overlain on 2020 SSS data.</w:t>
      </w:r>
      <w:bookmarkEnd w:id="148"/>
    </w:p>
    <w:p w14:paraId="16722BEA" w14:textId="350B79BD" w:rsidR="00E84E04" w:rsidRPr="00B91524" w:rsidRDefault="00E84E04" w:rsidP="00E84E04"/>
    <w:p w14:paraId="144A1750" w14:textId="77777777" w:rsidR="00E84E04" w:rsidRPr="00B91524" w:rsidRDefault="00E84E04" w:rsidP="00E84E04"/>
    <w:p w14:paraId="44D85821" w14:textId="77777777" w:rsidR="00E84E04" w:rsidRPr="00B91524" w:rsidRDefault="00E84E04" w:rsidP="00E84E04"/>
    <w:p w14:paraId="766FD2F9" w14:textId="2FF42912" w:rsidR="00D300AA" w:rsidRPr="00B91524" w:rsidRDefault="00D300AA">
      <w:pPr>
        <w:sectPr w:rsidR="00D300AA" w:rsidRPr="00B91524" w:rsidSect="00EC2978">
          <w:pgSz w:w="11916" w:h="16848"/>
          <w:pgMar w:top="1440" w:right="1080" w:bottom="1440" w:left="1080" w:header="850" w:footer="708" w:gutter="0"/>
          <w:cols w:space="720"/>
          <w:docGrid w:linePitch="360"/>
        </w:sectPr>
      </w:pPr>
    </w:p>
    <w:p w14:paraId="7DF91374" w14:textId="4A025381" w:rsidR="00C77585" w:rsidRPr="00B91524" w:rsidRDefault="00FC3081" w:rsidP="00FC3081">
      <w:pPr>
        <w:jc w:val="center"/>
      </w:pPr>
      <w:r w:rsidRPr="00B91524">
        <w:rPr>
          <w:noProof/>
        </w:rPr>
        <w:lastRenderedPageBreak/>
        <w:drawing>
          <wp:inline distT="0" distB="0" distL="0" distR="0" wp14:anchorId="78CE980C" wp14:editId="436D1919">
            <wp:extent cx="6907163" cy="4849200"/>
            <wp:effectExtent l="19050" t="19050" r="27305" b="2794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45" cstate="print">
                      <a:extLst>
                        <a:ext uri="{28A0092B-C50C-407E-A947-70E740481C1C}">
                          <a14:useLocalDpi xmlns:a14="http://schemas.microsoft.com/office/drawing/2010/main" val="0"/>
                        </a:ext>
                      </a:extLst>
                    </a:blip>
                    <a:srcRect l="5691" t="5292" r="2550" b="3587"/>
                    <a:stretch/>
                  </pic:blipFill>
                  <pic:spPr bwMode="auto">
                    <a:xfrm>
                      <a:off x="0" y="0"/>
                      <a:ext cx="6907163" cy="4849200"/>
                    </a:xfrm>
                    <a:prstGeom prst="rect">
                      <a:avLst/>
                    </a:prstGeom>
                    <a:noFill/>
                    <a:ln>
                      <a:solidFill>
                        <a:schemeClr val="tx1"/>
                      </a:solidFill>
                    </a:ln>
                    <a:extLst>
                      <a:ext uri="{53640926-AAD7-44D8-BBD7-CCE9431645EC}">
                        <a14:shadowObscured xmlns:a14="http://schemas.microsoft.com/office/drawing/2010/main"/>
                      </a:ext>
                    </a:extLst>
                  </pic:spPr>
                </pic:pic>
              </a:graphicData>
            </a:graphic>
          </wp:inline>
        </w:drawing>
      </w:r>
    </w:p>
    <w:p w14:paraId="485225C7" w14:textId="18F88928" w:rsidR="0009712F" w:rsidRPr="00B91524" w:rsidRDefault="0009712F" w:rsidP="0009712F">
      <w:pPr>
        <w:pStyle w:val="Caption"/>
        <w:ind w:firstLine="720"/>
        <w:sectPr w:rsidR="0009712F" w:rsidRPr="00B91524" w:rsidSect="00140110">
          <w:headerReference w:type="default" r:id="rId46"/>
          <w:pgSz w:w="16848" w:h="11916" w:orient="landscape"/>
          <w:pgMar w:top="1080" w:right="1440" w:bottom="1080" w:left="1440" w:header="850" w:footer="708" w:gutter="0"/>
          <w:cols w:space="720"/>
          <w:docGrid w:linePitch="360"/>
        </w:sectPr>
      </w:pPr>
      <w:bookmarkStart w:id="149" w:name="_Toc62048814"/>
      <w:r w:rsidRPr="00B91524">
        <w:t>Figure I</w:t>
      </w:r>
      <w:r w:rsidRPr="00B91524">
        <w:noBreakHyphen/>
      </w:r>
      <w:r w:rsidR="00683595">
        <w:fldChar w:fldCharType="begin"/>
      </w:r>
      <w:r w:rsidR="00683595">
        <w:instrText xml:space="preserve"> SEQ Figure \* ARABIC \s 1 </w:instrText>
      </w:r>
      <w:r w:rsidR="00683595">
        <w:fldChar w:fldCharType="separate"/>
      </w:r>
      <w:r w:rsidR="00683595">
        <w:rPr>
          <w:noProof/>
        </w:rPr>
        <w:t>2</w:t>
      </w:r>
      <w:r w:rsidR="00683595">
        <w:rPr>
          <w:noProof/>
        </w:rPr>
        <w:fldChar w:fldCharType="end"/>
      </w:r>
      <w:r w:rsidRPr="00B91524">
        <w:t xml:space="preserve"> – Location of nearshore DDC transects relative to the proposed HDD exit point options overlain on 2020 MBES data.</w:t>
      </w:r>
      <w:bookmarkEnd w:id="149"/>
    </w:p>
    <w:p w14:paraId="23DD13C4" w14:textId="77777777" w:rsidR="007F1595" w:rsidRPr="00B91524" w:rsidRDefault="0009712F" w:rsidP="007F1595">
      <w:pPr>
        <w:tabs>
          <w:tab w:val="left" w:pos="2030"/>
        </w:tabs>
        <w:rPr>
          <w:b/>
          <w:bCs/>
          <w:sz w:val="18"/>
          <w:szCs w:val="18"/>
        </w:rPr>
      </w:pPr>
      <w:r w:rsidRPr="00B91524">
        <w:rPr>
          <w:b/>
          <w:bCs/>
          <w:noProof/>
        </w:rPr>
        <w:lastRenderedPageBreak/>
        <w:drawing>
          <wp:anchor distT="0" distB="0" distL="114300" distR="114300" simplePos="0" relativeHeight="251714047" behindDoc="0" locked="0" layoutInCell="1" allowOverlap="1" wp14:anchorId="1F691DA1" wp14:editId="2BC6CB46">
            <wp:simplePos x="0" y="0"/>
            <wp:positionH relativeFrom="margin">
              <wp:posOffset>386715</wp:posOffset>
            </wp:positionH>
            <wp:positionV relativeFrom="paragraph">
              <wp:posOffset>160655</wp:posOffset>
            </wp:positionV>
            <wp:extent cx="6625590" cy="4847590"/>
            <wp:effectExtent l="0" t="0" r="3810" b="0"/>
            <wp:wrapTopAndBottom/>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47" cstate="print">
                      <a:extLst>
                        <a:ext uri="{28A0092B-C50C-407E-A947-70E740481C1C}">
                          <a14:useLocalDpi xmlns:a14="http://schemas.microsoft.com/office/drawing/2010/main" val="0"/>
                        </a:ext>
                      </a:extLst>
                    </a:blip>
                    <a:srcRect l="3695" t="2200" r="1807"/>
                    <a:stretch/>
                  </pic:blipFill>
                  <pic:spPr bwMode="auto">
                    <a:xfrm>
                      <a:off x="0" y="0"/>
                      <a:ext cx="6625590" cy="484759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bookmarkStart w:id="150" w:name="_Toc62048815"/>
    </w:p>
    <w:p w14:paraId="46544743" w14:textId="77777777" w:rsidR="007F1595" w:rsidRPr="00B91524" w:rsidRDefault="007F1595" w:rsidP="007F1595">
      <w:pPr>
        <w:tabs>
          <w:tab w:val="left" w:pos="2030"/>
        </w:tabs>
        <w:rPr>
          <w:b/>
          <w:bCs/>
          <w:sz w:val="18"/>
          <w:szCs w:val="18"/>
        </w:rPr>
      </w:pPr>
    </w:p>
    <w:p w14:paraId="1A60462F" w14:textId="425C7DCF" w:rsidR="00A42569" w:rsidRPr="00B91524" w:rsidRDefault="0009712F" w:rsidP="007F1595">
      <w:pPr>
        <w:tabs>
          <w:tab w:val="left" w:pos="2030"/>
        </w:tabs>
      </w:pPr>
      <w:r w:rsidRPr="00B91524">
        <w:rPr>
          <w:b/>
          <w:bCs/>
          <w:sz w:val="18"/>
          <w:szCs w:val="18"/>
        </w:rPr>
        <w:t>Figure I</w:t>
      </w:r>
      <w:r w:rsidRPr="00B91524">
        <w:rPr>
          <w:b/>
          <w:bCs/>
          <w:sz w:val="18"/>
          <w:szCs w:val="18"/>
        </w:rPr>
        <w:noBreakHyphen/>
      </w:r>
      <w:r w:rsidRPr="00B91524">
        <w:rPr>
          <w:b/>
          <w:bCs/>
          <w:sz w:val="18"/>
          <w:szCs w:val="18"/>
        </w:rPr>
        <w:fldChar w:fldCharType="begin"/>
      </w:r>
      <w:r w:rsidRPr="00B91524">
        <w:rPr>
          <w:b/>
          <w:bCs/>
          <w:sz w:val="18"/>
          <w:szCs w:val="18"/>
        </w:rPr>
        <w:instrText xml:space="preserve"> SEQ Figure \* ARABIC \s 1 </w:instrText>
      </w:r>
      <w:r w:rsidRPr="00B91524">
        <w:rPr>
          <w:b/>
          <w:bCs/>
          <w:sz w:val="18"/>
          <w:szCs w:val="18"/>
        </w:rPr>
        <w:fldChar w:fldCharType="separate"/>
      </w:r>
      <w:r w:rsidR="00683595">
        <w:rPr>
          <w:b/>
          <w:bCs/>
          <w:noProof/>
          <w:sz w:val="18"/>
          <w:szCs w:val="18"/>
        </w:rPr>
        <w:t>3</w:t>
      </w:r>
      <w:r w:rsidRPr="00B91524">
        <w:rPr>
          <w:b/>
          <w:bCs/>
          <w:sz w:val="18"/>
          <w:szCs w:val="18"/>
        </w:rPr>
        <w:fldChar w:fldCharType="end"/>
      </w:r>
      <w:r w:rsidRPr="00B91524">
        <w:rPr>
          <w:b/>
          <w:bCs/>
          <w:sz w:val="18"/>
          <w:szCs w:val="18"/>
        </w:rPr>
        <w:t xml:space="preserve">– Location of nearshore DDC transects out to KP </w:t>
      </w:r>
      <w:r w:rsidR="005833A1" w:rsidRPr="00B91524">
        <w:rPr>
          <w:b/>
          <w:bCs/>
          <w:sz w:val="18"/>
          <w:szCs w:val="18"/>
        </w:rPr>
        <w:t>10</w:t>
      </w:r>
      <w:r w:rsidRPr="00B91524">
        <w:rPr>
          <w:b/>
          <w:bCs/>
          <w:sz w:val="18"/>
          <w:szCs w:val="18"/>
        </w:rPr>
        <w:t xml:space="preserve"> overlain on 2020 MBES data.</w:t>
      </w:r>
      <w:bookmarkEnd w:id="150"/>
    </w:p>
    <w:p w14:paraId="644EF163" w14:textId="1F5C84D1" w:rsidR="00BF382F" w:rsidRPr="00B91524" w:rsidRDefault="00BF382F">
      <w:pPr>
        <w:pStyle w:val="Caption"/>
        <w:sectPr w:rsidR="00BF382F" w:rsidRPr="00B91524" w:rsidSect="00D300AA">
          <w:pgSz w:w="16848" w:h="11916" w:orient="landscape"/>
          <w:pgMar w:top="1080" w:right="1440" w:bottom="1080" w:left="1440" w:header="850" w:footer="708" w:gutter="0"/>
          <w:cols w:space="720"/>
          <w:docGrid w:linePitch="360"/>
        </w:sectPr>
      </w:pPr>
    </w:p>
    <w:p w14:paraId="3F6612C1" w14:textId="3B5FF8CD" w:rsidR="00E84E04" w:rsidRPr="00B91524" w:rsidRDefault="007E6BF8" w:rsidP="00E84E04">
      <w:pPr>
        <w:rPr>
          <w:rFonts w:eastAsia="Calibri"/>
        </w:rPr>
      </w:pPr>
      <w:r w:rsidRPr="00B91524">
        <w:rPr>
          <w:szCs w:val="16"/>
        </w:rPr>
        <w:lastRenderedPageBreak/>
        <w:t xml:space="preserve">Table I-2 – Rationale and coordinates of nearshore </w:t>
      </w:r>
      <w:r w:rsidR="00715A8C" w:rsidRPr="00B91524">
        <w:rPr>
          <w:szCs w:val="16"/>
        </w:rPr>
        <w:t>DDC transects</w:t>
      </w:r>
      <w:r w:rsidR="008B5D96" w:rsidRPr="00B91524">
        <w:rPr>
          <w:szCs w:val="16"/>
        </w:rPr>
        <w:t xml:space="preserve"> (out to KP10)</w:t>
      </w:r>
      <w:r w:rsidRPr="00B91524">
        <w:rPr>
          <w:szCs w:val="16"/>
        </w:rPr>
        <w:t>.</w:t>
      </w:r>
    </w:p>
    <w:tbl>
      <w:tblPr>
        <w:tblW w:w="5108" w:type="pct"/>
        <w:tblLook w:val="04A0" w:firstRow="1" w:lastRow="0" w:firstColumn="1" w:lastColumn="0" w:noHBand="0" w:noVBand="1"/>
      </w:tblPr>
      <w:tblGrid>
        <w:gridCol w:w="506"/>
        <w:gridCol w:w="9276"/>
        <w:gridCol w:w="541"/>
        <w:gridCol w:w="1117"/>
        <w:gridCol w:w="1067"/>
        <w:gridCol w:w="1268"/>
        <w:gridCol w:w="484"/>
      </w:tblGrid>
      <w:tr w:rsidR="009D6FD5" w:rsidRPr="00B91524" w14:paraId="7E12F269" w14:textId="77777777" w:rsidTr="00843131">
        <w:trPr>
          <w:trHeight w:val="109"/>
        </w:trPr>
        <w:tc>
          <w:tcPr>
            <w:tcW w:w="176" w:type="pct"/>
            <w:tcBorders>
              <w:top w:val="single" w:sz="4" w:space="0" w:color="auto"/>
              <w:left w:val="single" w:sz="4" w:space="0" w:color="auto"/>
              <w:bottom w:val="single" w:sz="4" w:space="0" w:color="auto"/>
              <w:right w:val="single" w:sz="4" w:space="0" w:color="auto"/>
            </w:tcBorders>
            <w:shd w:val="clear" w:color="000000" w:fill="002060"/>
            <w:noWrap/>
            <w:vAlign w:val="center"/>
            <w:hideMark/>
          </w:tcPr>
          <w:p w14:paraId="0F019DC7" w14:textId="77777777" w:rsidR="009D6FD5" w:rsidRPr="00B91524" w:rsidRDefault="009D6FD5" w:rsidP="009D6FD5">
            <w:pPr>
              <w:spacing w:after="0"/>
              <w:jc w:val="center"/>
              <w:rPr>
                <w:rFonts w:cs="Arial"/>
                <w:b/>
                <w:bCs/>
                <w:color w:val="FFFFFF"/>
                <w:sz w:val="18"/>
                <w:szCs w:val="18"/>
                <w:lang w:eastAsia="en-GB"/>
              </w:rPr>
            </w:pPr>
            <w:r w:rsidRPr="00B91524">
              <w:rPr>
                <w:rFonts w:cs="Arial"/>
                <w:b/>
                <w:bCs/>
                <w:color w:val="FFFFFF"/>
                <w:sz w:val="18"/>
                <w:szCs w:val="18"/>
                <w:lang w:eastAsia="en-GB"/>
              </w:rPr>
              <w:t>No.</w:t>
            </w:r>
          </w:p>
        </w:tc>
        <w:tc>
          <w:tcPr>
            <w:tcW w:w="3254" w:type="pct"/>
            <w:tcBorders>
              <w:top w:val="single" w:sz="4" w:space="0" w:color="auto"/>
              <w:left w:val="nil"/>
              <w:bottom w:val="single" w:sz="4" w:space="0" w:color="auto"/>
              <w:right w:val="single" w:sz="4" w:space="0" w:color="auto"/>
            </w:tcBorders>
            <w:shd w:val="clear" w:color="000000" w:fill="002060"/>
            <w:noWrap/>
            <w:vAlign w:val="center"/>
            <w:hideMark/>
          </w:tcPr>
          <w:p w14:paraId="4C0EA2A0" w14:textId="77777777" w:rsidR="009D6FD5" w:rsidRPr="00B91524" w:rsidRDefault="009D6FD5" w:rsidP="009D6FD5">
            <w:pPr>
              <w:spacing w:after="0"/>
              <w:jc w:val="center"/>
              <w:rPr>
                <w:rFonts w:cs="Arial"/>
                <w:b/>
                <w:bCs/>
                <w:color w:val="FFFFFF"/>
                <w:sz w:val="18"/>
                <w:szCs w:val="18"/>
                <w:lang w:eastAsia="en-GB"/>
              </w:rPr>
            </w:pPr>
            <w:r w:rsidRPr="00B91524">
              <w:rPr>
                <w:rFonts w:cs="Arial"/>
                <w:b/>
                <w:bCs/>
                <w:color w:val="FFFFFF"/>
                <w:sz w:val="18"/>
                <w:szCs w:val="18"/>
                <w:lang w:eastAsia="en-GB"/>
              </w:rPr>
              <w:t>Rationale</w:t>
            </w:r>
          </w:p>
        </w:tc>
        <w:tc>
          <w:tcPr>
            <w:tcW w:w="191" w:type="pct"/>
            <w:tcBorders>
              <w:top w:val="single" w:sz="4" w:space="0" w:color="auto"/>
              <w:left w:val="nil"/>
              <w:bottom w:val="single" w:sz="4" w:space="0" w:color="auto"/>
              <w:right w:val="single" w:sz="4" w:space="0" w:color="auto"/>
            </w:tcBorders>
            <w:shd w:val="clear" w:color="000000" w:fill="002060"/>
            <w:noWrap/>
            <w:vAlign w:val="center"/>
            <w:hideMark/>
          </w:tcPr>
          <w:p w14:paraId="6881AAF7" w14:textId="77777777" w:rsidR="009D6FD5" w:rsidRPr="00B91524" w:rsidRDefault="009D6FD5" w:rsidP="009D6FD5">
            <w:pPr>
              <w:spacing w:after="0"/>
              <w:jc w:val="center"/>
              <w:rPr>
                <w:rFonts w:cs="Arial"/>
                <w:b/>
                <w:bCs/>
                <w:color w:val="FFFFFF"/>
                <w:sz w:val="18"/>
                <w:szCs w:val="18"/>
                <w:lang w:eastAsia="en-GB"/>
              </w:rPr>
            </w:pPr>
            <w:r w:rsidRPr="00B91524">
              <w:rPr>
                <w:rFonts w:cs="Arial"/>
                <w:b/>
                <w:bCs/>
                <w:color w:val="FFFFFF"/>
                <w:sz w:val="18"/>
                <w:szCs w:val="18"/>
                <w:lang w:eastAsia="en-GB"/>
              </w:rPr>
              <w:t>AOI</w:t>
            </w:r>
          </w:p>
        </w:tc>
        <w:tc>
          <w:tcPr>
            <w:tcW w:w="390" w:type="pct"/>
            <w:tcBorders>
              <w:top w:val="single" w:sz="4" w:space="0" w:color="auto"/>
              <w:left w:val="nil"/>
              <w:bottom w:val="single" w:sz="4" w:space="0" w:color="auto"/>
              <w:right w:val="single" w:sz="4" w:space="0" w:color="auto"/>
            </w:tcBorders>
            <w:shd w:val="clear" w:color="000000" w:fill="002060"/>
            <w:noWrap/>
            <w:vAlign w:val="center"/>
            <w:hideMark/>
          </w:tcPr>
          <w:p w14:paraId="5188B393" w14:textId="77777777" w:rsidR="009D6FD5" w:rsidRPr="00B91524" w:rsidRDefault="009D6FD5" w:rsidP="009D6FD5">
            <w:pPr>
              <w:spacing w:after="0"/>
              <w:jc w:val="center"/>
              <w:rPr>
                <w:rFonts w:cs="Arial"/>
                <w:b/>
                <w:bCs/>
                <w:color w:val="FFFFFF"/>
                <w:sz w:val="18"/>
                <w:szCs w:val="18"/>
                <w:lang w:eastAsia="en-GB"/>
              </w:rPr>
            </w:pPr>
            <w:r w:rsidRPr="00B91524">
              <w:rPr>
                <w:rFonts w:cs="Arial"/>
                <w:b/>
                <w:bCs/>
                <w:color w:val="FFFFFF"/>
                <w:sz w:val="18"/>
                <w:szCs w:val="18"/>
                <w:lang w:eastAsia="en-GB"/>
              </w:rPr>
              <w:t>Start / End</w:t>
            </w:r>
          </w:p>
        </w:tc>
        <w:tc>
          <w:tcPr>
            <w:tcW w:w="372" w:type="pct"/>
            <w:tcBorders>
              <w:top w:val="single" w:sz="4" w:space="0" w:color="auto"/>
              <w:left w:val="nil"/>
              <w:bottom w:val="single" w:sz="4" w:space="0" w:color="auto"/>
              <w:right w:val="single" w:sz="4" w:space="0" w:color="auto"/>
            </w:tcBorders>
            <w:shd w:val="clear" w:color="000000" w:fill="002060"/>
            <w:noWrap/>
            <w:vAlign w:val="center"/>
            <w:hideMark/>
          </w:tcPr>
          <w:p w14:paraId="045DF32F" w14:textId="77777777" w:rsidR="009D6FD5" w:rsidRPr="00B91524" w:rsidRDefault="009D6FD5" w:rsidP="009D6FD5">
            <w:pPr>
              <w:spacing w:after="0"/>
              <w:jc w:val="center"/>
              <w:rPr>
                <w:rFonts w:cs="Arial"/>
                <w:b/>
                <w:bCs/>
                <w:color w:val="FFFFFF"/>
                <w:sz w:val="18"/>
                <w:szCs w:val="18"/>
                <w:lang w:eastAsia="en-GB"/>
              </w:rPr>
            </w:pPr>
            <w:r w:rsidRPr="00B91524">
              <w:rPr>
                <w:rFonts w:cs="Arial"/>
                <w:b/>
                <w:bCs/>
                <w:color w:val="FFFFFF"/>
                <w:sz w:val="18"/>
                <w:szCs w:val="18"/>
                <w:lang w:eastAsia="en-GB"/>
              </w:rPr>
              <w:t>Easting</w:t>
            </w:r>
          </w:p>
        </w:tc>
        <w:tc>
          <w:tcPr>
            <w:tcW w:w="446" w:type="pct"/>
            <w:tcBorders>
              <w:top w:val="single" w:sz="4" w:space="0" w:color="auto"/>
              <w:left w:val="nil"/>
              <w:bottom w:val="single" w:sz="4" w:space="0" w:color="auto"/>
              <w:right w:val="single" w:sz="4" w:space="0" w:color="auto"/>
            </w:tcBorders>
            <w:shd w:val="clear" w:color="000000" w:fill="002060"/>
            <w:noWrap/>
            <w:vAlign w:val="center"/>
            <w:hideMark/>
          </w:tcPr>
          <w:p w14:paraId="23471151" w14:textId="77777777" w:rsidR="009D6FD5" w:rsidRPr="00B91524" w:rsidRDefault="009D6FD5" w:rsidP="009D6FD5">
            <w:pPr>
              <w:spacing w:after="0"/>
              <w:jc w:val="center"/>
              <w:rPr>
                <w:rFonts w:cs="Arial"/>
                <w:b/>
                <w:bCs/>
                <w:color w:val="FFFFFF"/>
                <w:sz w:val="18"/>
                <w:szCs w:val="18"/>
                <w:lang w:eastAsia="en-GB"/>
              </w:rPr>
            </w:pPr>
            <w:r w:rsidRPr="00B91524">
              <w:rPr>
                <w:rFonts w:cs="Arial"/>
                <w:b/>
                <w:bCs/>
                <w:color w:val="FFFFFF"/>
                <w:sz w:val="18"/>
                <w:szCs w:val="18"/>
                <w:lang w:eastAsia="en-GB"/>
              </w:rPr>
              <w:t>Northing</w:t>
            </w:r>
          </w:p>
        </w:tc>
        <w:tc>
          <w:tcPr>
            <w:tcW w:w="171" w:type="pct"/>
            <w:tcBorders>
              <w:top w:val="single" w:sz="4" w:space="0" w:color="auto"/>
              <w:left w:val="nil"/>
              <w:bottom w:val="single" w:sz="4" w:space="0" w:color="auto"/>
              <w:right w:val="single" w:sz="4" w:space="0" w:color="auto"/>
            </w:tcBorders>
            <w:shd w:val="clear" w:color="000000" w:fill="002060"/>
            <w:noWrap/>
            <w:vAlign w:val="center"/>
            <w:hideMark/>
          </w:tcPr>
          <w:p w14:paraId="78700F96" w14:textId="77777777" w:rsidR="009D6FD5" w:rsidRPr="00B91524" w:rsidRDefault="009D6FD5" w:rsidP="009D6FD5">
            <w:pPr>
              <w:spacing w:after="0"/>
              <w:jc w:val="center"/>
              <w:rPr>
                <w:rFonts w:cs="Arial"/>
                <w:b/>
                <w:bCs/>
                <w:color w:val="FFFFFF"/>
                <w:sz w:val="18"/>
                <w:szCs w:val="18"/>
                <w:lang w:eastAsia="en-GB"/>
              </w:rPr>
            </w:pPr>
            <w:r w:rsidRPr="00B91524">
              <w:rPr>
                <w:rFonts w:cs="Arial"/>
                <w:b/>
                <w:bCs/>
                <w:color w:val="FFFFFF"/>
                <w:sz w:val="18"/>
                <w:szCs w:val="18"/>
                <w:lang w:eastAsia="en-GB"/>
              </w:rPr>
              <w:t>KP</w:t>
            </w:r>
          </w:p>
        </w:tc>
      </w:tr>
      <w:tr w:rsidR="009D6FD5" w:rsidRPr="00B91524" w14:paraId="732C54C7" w14:textId="77777777" w:rsidTr="00843131">
        <w:trPr>
          <w:trHeight w:val="219"/>
        </w:trPr>
        <w:tc>
          <w:tcPr>
            <w:tcW w:w="176" w:type="pct"/>
            <w:tcBorders>
              <w:top w:val="nil"/>
              <w:left w:val="single" w:sz="4" w:space="0" w:color="auto"/>
              <w:bottom w:val="single" w:sz="4" w:space="0" w:color="auto"/>
              <w:right w:val="single" w:sz="4" w:space="0" w:color="auto"/>
            </w:tcBorders>
            <w:shd w:val="clear" w:color="auto" w:fill="auto"/>
            <w:noWrap/>
            <w:vAlign w:val="center"/>
            <w:hideMark/>
          </w:tcPr>
          <w:p w14:paraId="37EAAF57"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1</w:t>
            </w:r>
          </w:p>
        </w:tc>
        <w:tc>
          <w:tcPr>
            <w:tcW w:w="3254" w:type="pct"/>
            <w:tcBorders>
              <w:top w:val="nil"/>
              <w:left w:val="nil"/>
              <w:bottom w:val="single" w:sz="4" w:space="0" w:color="auto"/>
              <w:right w:val="single" w:sz="4" w:space="0" w:color="auto"/>
            </w:tcBorders>
            <w:shd w:val="clear" w:color="auto" w:fill="auto"/>
            <w:vAlign w:val="center"/>
            <w:hideMark/>
          </w:tcPr>
          <w:p w14:paraId="4155668F" w14:textId="29EFBD83" w:rsidR="009D6FD5" w:rsidRPr="00B91524" w:rsidRDefault="009D6FD5" w:rsidP="00D40512">
            <w:pPr>
              <w:spacing w:after="0"/>
              <w:rPr>
                <w:rFonts w:cs="Arial"/>
                <w:sz w:val="18"/>
                <w:szCs w:val="18"/>
                <w:lang w:eastAsia="en-GB"/>
              </w:rPr>
            </w:pPr>
            <w:r w:rsidRPr="00B91524">
              <w:rPr>
                <w:rFonts w:cs="Arial"/>
                <w:sz w:val="18"/>
                <w:szCs w:val="18"/>
                <w:lang w:eastAsia="en-GB"/>
              </w:rPr>
              <w:t>HDD area. Bedrock reef recorded during 2011/2012 EIA survey. Sandy sediment recorded during 2019 survey.</w:t>
            </w:r>
          </w:p>
        </w:tc>
        <w:tc>
          <w:tcPr>
            <w:tcW w:w="191" w:type="pct"/>
            <w:tcBorders>
              <w:top w:val="nil"/>
              <w:left w:val="nil"/>
              <w:bottom w:val="single" w:sz="4" w:space="0" w:color="auto"/>
              <w:right w:val="single" w:sz="4" w:space="0" w:color="auto"/>
            </w:tcBorders>
            <w:shd w:val="clear" w:color="auto" w:fill="auto"/>
            <w:noWrap/>
            <w:vAlign w:val="center"/>
            <w:hideMark/>
          </w:tcPr>
          <w:p w14:paraId="044C6082"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A</w:t>
            </w:r>
          </w:p>
        </w:tc>
        <w:tc>
          <w:tcPr>
            <w:tcW w:w="390" w:type="pct"/>
            <w:tcBorders>
              <w:top w:val="nil"/>
              <w:left w:val="nil"/>
              <w:bottom w:val="single" w:sz="4" w:space="0" w:color="auto"/>
              <w:right w:val="single" w:sz="4" w:space="0" w:color="auto"/>
            </w:tcBorders>
            <w:shd w:val="clear" w:color="auto" w:fill="auto"/>
            <w:noWrap/>
            <w:vAlign w:val="center"/>
            <w:hideMark/>
          </w:tcPr>
          <w:p w14:paraId="011F0591"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Start</w:t>
            </w:r>
          </w:p>
        </w:tc>
        <w:tc>
          <w:tcPr>
            <w:tcW w:w="372" w:type="pct"/>
            <w:tcBorders>
              <w:top w:val="nil"/>
              <w:left w:val="nil"/>
              <w:bottom w:val="single" w:sz="4" w:space="0" w:color="auto"/>
              <w:right w:val="single" w:sz="4" w:space="0" w:color="auto"/>
            </w:tcBorders>
            <w:shd w:val="clear" w:color="auto" w:fill="auto"/>
            <w:noWrap/>
            <w:vAlign w:val="center"/>
            <w:hideMark/>
          </w:tcPr>
          <w:p w14:paraId="1E2530D8"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240359.58</w:t>
            </w:r>
          </w:p>
        </w:tc>
        <w:tc>
          <w:tcPr>
            <w:tcW w:w="446" w:type="pct"/>
            <w:tcBorders>
              <w:top w:val="nil"/>
              <w:left w:val="nil"/>
              <w:bottom w:val="single" w:sz="4" w:space="0" w:color="auto"/>
              <w:right w:val="single" w:sz="4" w:space="0" w:color="auto"/>
            </w:tcBorders>
            <w:shd w:val="clear" w:color="auto" w:fill="auto"/>
            <w:noWrap/>
            <w:vAlign w:val="center"/>
            <w:hideMark/>
          </w:tcPr>
          <w:p w14:paraId="13CF858C"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6058249.48</w:t>
            </w:r>
          </w:p>
        </w:tc>
        <w:tc>
          <w:tcPr>
            <w:tcW w:w="171" w:type="pct"/>
            <w:tcBorders>
              <w:top w:val="nil"/>
              <w:left w:val="nil"/>
              <w:bottom w:val="single" w:sz="4" w:space="0" w:color="auto"/>
              <w:right w:val="single" w:sz="4" w:space="0" w:color="auto"/>
            </w:tcBorders>
            <w:shd w:val="clear" w:color="auto" w:fill="auto"/>
            <w:noWrap/>
            <w:vAlign w:val="center"/>
            <w:hideMark/>
          </w:tcPr>
          <w:p w14:paraId="1B42F7E2"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1</w:t>
            </w:r>
          </w:p>
        </w:tc>
      </w:tr>
      <w:tr w:rsidR="009D6FD5" w:rsidRPr="00B91524" w14:paraId="723E7870" w14:textId="77777777" w:rsidTr="00843131">
        <w:trPr>
          <w:trHeight w:val="219"/>
        </w:trPr>
        <w:tc>
          <w:tcPr>
            <w:tcW w:w="176" w:type="pct"/>
            <w:tcBorders>
              <w:top w:val="nil"/>
              <w:left w:val="single" w:sz="4" w:space="0" w:color="auto"/>
              <w:bottom w:val="single" w:sz="4" w:space="0" w:color="auto"/>
              <w:right w:val="single" w:sz="4" w:space="0" w:color="auto"/>
            </w:tcBorders>
            <w:shd w:val="clear" w:color="auto" w:fill="auto"/>
            <w:noWrap/>
            <w:vAlign w:val="center"/>
            <w:hideMark/>
          </w:tcPr>
          <w:p w14:paraId="06BD5D48"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1</w:t>
            </w:r>
          </w:p>
        </w:tc>
        <w:tc>
          <w:tcPr>
            <w:tcW w:w="3254" w:type="pct"/>
            <w:tcBorders>
              <w:top w:val="nil"/>
              <w:left w:val="nil"/>
              <w:bottom w:val="single" w:sz="4" w:space="0" w:color="auto"/>
              <w:right w:val="single" w:sz="4" w:space="0" w:color="auto"/>
            </w:tcBorders>
            <w:shd w:val="clear" w:color="auto" w:fill="auto"/>
            <w:vAlign w:val="center"/>
            <w:hideMark/>
          </w:tcPr>
          <w:p w14:paraId="29B03C25" w14:textId="6D460149" w:rsidR="009D6FD5" w:rsidRPr="00B91524" w:rsidRDefault="009D6FD5" w:rsidP="00D40512">
            <w:pPr>
              <w:spacing w:after="0"/>
              <w:rPr>
                <w:rFonts w:cs="Arial"/>
                <w:sz w:val="18"/>
                <w:szCs w:val="18"/>
                <w:lang w:eastAsia="en-GB"/>
              </w:rPr>
            </w:pPr>
            <w:r w:rsidRPr="00B91524">
              <w:rPr>
                <w:rFonts w:cs="Arial"/>
                <w:sz w:val="18"/>
                <w:szCs w:val="18"/>
                <w:lang w:eastAsia="en-GB"/>
              </w:rPr>
              <w:t>HDD area. Bedrock reef recorded during 2011/2012 EIA survey. Sandy sediment recorded during 2019 survey.</w:t>
            </w:r>
          </w:p>
        </w:tc>
        <w:tc>
          <w:tcPr>
            <w:tcW w:w="191" w:type="pct"/>
            <w:tcBorders>
              <w:top w:val="nil"/>
              <w:left w:val="nil"/>
              <w:bottom w:val="single" w:sz="4" w:space="0" w:color="auto"/>
              <w:right w:val="single" w:sz="4" w:space="0" w:color="auto"/>
            </w:tcBorders>
            <w:shd w:val="clear" w:color="auto" w:fill="auto"/>
            <w:noWrap/>
            <w:vAlign w:val="center"/>
            <w:hideMark/>
          </w:tcPr>
          <w:p w14:paraId="690018A0"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A</w:t>
            </w:r>
          </w:p>
        </w:tc>
        <w:tc>
          <w:tcPr>
            <w:tcW w:w="390" w:type="pct"/>
            <w:tcBorders>
              <w:top w:val="nil"/>
              <w:left w:val="nil"/>
              <w:bottom w:val="single" w:sz="4" w:space="0" w:color="auto"/>
              <w:right w:val="single" w:sz="4" w:space="0" w:color="auto"/>
            </w:tcBorders>
            <w:shd w:val="clear" w:color="auto" w:fill="auto"/>
            <w:noWrap/>
            <w:vAlign w:val="center"/>
            <w:hideMark/>
          </w:tcPr>
          <w:p w14:paraId="43BDB360"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End</w:t>
            </w:r>
          </w:p>
        </w:tc>
        <w:tc>
          <w:tcPr>
            <w:tcW w:w="372" w:type="pct"/>
            <w:tcBorders>
              <w:top w:val="nil"/>
              <w:left w:val="nil"/>
              <w:bottom w:val="single" w:sz="4" w:space="0" w:color="auto"/>
              <w:right w:val="single" w:sz="4" w:space="0" w:color="auto"/>
            </w:tcBorders>
            <w:shd w:val="clear" w:color="auto" w:fill="auto"/>
            <w:noWrap/>
            <w:vAlign w:val="center"/>
            <w:hideMark/>
          </w:tcPr>
          <w:p w14:paraId="5F975060"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240598.60</w:t>
            </w:r>
          </w:p>
        </w:tc>
        <w:tc>
          <w:tcPr>
            <w:tcW w:w="446" w:type="pct"/>
            <w:tcBorders>
              <w:top w:val="nil"/>
              <w:left w:val="nil"/>
              <w:bottom w:val="single" w:sz="4" w:space="0" w:color="auto"/>
              <w:right w:val="single" w:sz="4" w:space="0" w:color="auto"/>
            </w:tcBorders>
            <w:shd w:val="clear" w:color="auto" w:fill="auto"/>
            <w:noWrap/>
            <w:vAlign w:val="center"/>
            <w:hideMark/>
          </w:tcPr>
          <w:p w14:paraId="4AF35F4C"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6058479.27</w:t>
            </w:r>
          </w:p>
        </w:tc>
        <w:tc>
          <w:tcPr>
            <w:tcW w:w="171" w:type="pct"/>
            <w:tcBorders>
              <w:top w:val="nil"/>
              <w:left w:val="nil"/>
              <w:bottom w:val="single" w:sz="4" w:space="0" w:color="auto"/>
              <w:right w:val="single" w:sz="4" w:space="0" w:color="auto"/>
            </w:tcBorders>
            <w:shd w:val="clear" w:color="auto" w:fill="auto"/>
            <w:noWrap/>
            <w:vAlign w:val="center"/>
            <w:hideMark/>
          </w:tcPr>
          <w:p w14:paraId="759BBA14"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1</w:t>
            </w:r>
          </w:p>
        </w:tc>
      </w:tr>
      <w:tr w:rsidR="009D6FD5" w:rsidRPr="00B91524" w14:paraId="29CA2BDD" w14:textId="77777777" w:rsidTr="00843131">
        <w:trPr>
          <w:trHeight w:val="219"/>
        </w:trPr>
        <w:tc>
          <w:tcPr>
            <w:tcW w:w="176" w:type="pct"/>
            <w:tcBorders>
              <w:top w:val="nil"/>
              <w:left w:val="single" w:sz="4" w:space="0" w:color="auto"/>
              <w:bottom w:val="single" w:sz="4" w:space="0" w:color="auto"/>
              <w:right w:val="single" w:sz="4" w:space="0" w:color="auto"/>
            </w:tcBorders>
            <w:shd w:val="clear" w:color="auto" w:fill="auto"/>
            <w:noWrap/>
            <w:vAlign w:val="center"/>
            <w:hideMark/>
          </w:tcPr>
          <w:p w14:paraId="619F6589"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2</w:t>
            </w:r>
          </w:p>
        </w:tc>
        <w:tc>
          <w:tcPr>
            <w:tcW w:w="3254" w:type="pct"/>
            <w:tcBorders>
              <w:top w:val="nil"/>
              <w:left w:val="nil"/>
              <w:bottom w:val="single" w:sz="4" w:space="0" w:color="auto"/>
              <w:right w:val="single" w:sz="4" w:space="0" w:color="auto"/>
            </w:tcBorders>
            <w:shd w:val="clear" w:color="auto" w:fill="auto"/>
            <w:vAlign w:val="center"/>
            <w:hideMark/>
          </w:tcPr>
          <w:p w14:paraId="3B07148F" w14:textId="37DE5E99" w:rsidR="009D6FD5" w:rsidRPr="00B91524" w:rsidRDefault="009D6FD5">
            <w:pPr>
              <w:spacing w:after="0"/>
              <w:rPr>
                <w:rFonts w:cs="Arial"/>
                <w:sz w:val="18"/>
                <w:szCs w:val="18"/>
                <w:lang w:eastAsia="en-GB"/>
              </w:rPr>
            </w:pPr>
            <w:r w:rsidRPr="00B91524">
              <w:rPr>
                <w:rFonts w:cs="Arial"/>
                <w:sz w:val="18"/>
                <w:szCs w:val="18"/>
                <w:lang w:eastAsia="en-GB"/>
              </w:rPr>
              <w:t>HDD area. Bedrock reef recorded during 2011/2012 EIA survey. Sandy sediment recorded during 2019 survey.</w:t>
            </w:r>
          </w:p>
        </w:tc>
        <w:tc>
          <w:tcPr>
            <w:tcW w:w="191" w:type="pct"/>
            <w:tcBorders>
              <w:top w:val="nil"/>
              <w:left w:val="nil"/>
              <w:bottom w:val="single" w:sz="4" w:space="0" w:color="auto"/>
              <w:right w:val="single" w:sz="4" w:space="0" w:color="auto"/>
            </w:tcBorders>
            <w:shd w:val="clear" w:color="auto" w:fill="auto"/>
            <w:noWrap/>
            <w:vAlign w:val="center"/>
            <w:hideMark/>
          </w:tcPr>
          <w:p w14:paraId="19AC78FC"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A</w:t>
            </w:r>
          </w:p>
        </w:tc>
        <w:tc>
          <w:tcPr>
            <w:tcW w:w="390" w:type="pct"/>
            <w:tcBorders>
              <w:top w:val="nil"/>
              <w:left w:val="nil"/>
              <w:bottom w:val="single" w:sz="4" w:space="0" w:color="auto"/>
              <w:right w:val="single" w:sz="4" w:space="0" w:color="auto"/>
            </w:tcBorders>
            <w:shd w:val="clear" w:color="auto" w:fill="auto"/>
            <w:noWrap/>
            <w:vAlign w:val="center"/>
            <w:hideMark/>
          </w:tcPr>
          <w:p w14:paraId="08AA1685"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Start</w:t>
            </w:r>
          </w:p>
        </w:tc>
        <w:tc>
          <w:tcPr>
            <w:tcW w:w="372" w:type="pct"/>
            <w:tcBorders>
              <w:top w:val="nil"/>
              <w:left w:val="nil"/>
              <w:bottom w:val="single" w:sz="4" w:space="0" w:color="auto"/>
              <w:right w:val="single" w:sz="4" w:space="0" w:color="auto"/>
            </w:tcBorders>
            <w:shd w:val="clear" w:color="auto" w:fill="auto"/>
            <w:noWrap/>
            <w:vAlign w:val="center"/>
            <w:hideMark/>
          </w:tcPr>
          <w:p w14:paraId="002E9DEC"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240350.34</w:t>
            </w:r>
          </w:p>
        </w:tc>
        <w:tc>
          <w:tcPr>
            <w:tcW w:w="446" w:type="pct"/>
            <w:tcBorders>
              <w:top w:val="nil"/>
              <w:left w:val="nil"/>
              <w:bottom w:val="single" w:sz="4" w:space="0" w:color="auto"/>
              <w:right w:val="single" w:sz="4" w:space="0" w:color="auto"/>
            </w:tcBorders>
            <w:shd w:val="clear" w:color="auto" w:fill="auto"/>
            <w:noWrap/>
            <w:vAlign w:val="center"/>
            <w:hideMark/>
          </w:tcPr>
          <w:p w14:paraId="176D23A7"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6058347.96</w:t>
            </w:r>
          </w:p>
        </w:tc>
        <w:tc>
          <w:tcPr>
            <w:tcW w:w="171" w:type="pct"/>
            <w:tcBorders>
              <w:top w:val="nil"/>
              <w:left w:val="nil"/>
              <w:bottom w:val="single" w:sz="4" w:space="0" w:color="auto"/>
              <w:right w:val="single" w:sz="4" w:space="0" w:color="auto"/>
            </w:tcBorders>
            <w:shd w:val="clear" w:color="auto" w:fill="auto"/>
            <w:noWrap/>
            <w:vAlign w:val="center"/>
            <w:hideMark/>
          </w:tcPr>
          <w:p w14:paraId="50FD8AFF"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1</w:t>
            </w:r>
          </w:p>
        </w:tc>
      </w:tr>
      <w:tr w:rsidR="009D6FD5" w:rsidRPr="00B91524" w14:paraId="7693FE17" w14:textId="77777777" w:rsidTr="00843131">
        <w:trPr>
          <w:trHeight w:val="219"/>
        </w:trPr>
        <w:tc>
          <w:tcPr>
            <w:tcW w:w="176" w:type="pct"/>
            <w:tcBorders>
              <w:top w:val="nil"/>
              <w:left w:val="single" w:sz="4" w:space="0" w:color="auto"/>
              <w:bottom w:val="single" w:sz="4" w:space="0" w:color="auto"/>
              <w:right w:val="single" w:sz="4" w:space="0" w:color="auto"/>
            </w:tcBorders>
            <w:shd w:val="clear" w:color="auto" w:fill="auto"/>
            <w:noWrap/>
            <w:vAlign w:val="center"/>
            <w:hideMark/>
          </w:tcPr>
          <w:p w14:paraId="4C01976C"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2</w:t>
            </w:r>
          </w:p>
        </w:tc>
        <w:tc>
          <w:tcPr>
            <w:tcW w:w="3254" w:type="pct"/>
            <w:tcBorders>
              <w:top w:val="nil"/>
              <w:left w:val="nil"/>
              <w:bottom w:val="single" w:sz="4" w:space="0" w:color="auto"/>
              <w:right w:val="single" w:sz="4" w:space="0" w:color="auto"/>
            </w:tcBorders>
            <w:shd w:val="clear" w:color="auto" w:fill="auto"/>
            <w:vAlign w:val="center"/>
            <w:hideMark/>
          </w:tcPr>
          <w:p w14:paraId="741AF7C7" w14:textId="2B15AE67" w:rsidR="009D6FD5" w:rsidRPr="00B91524" w:rsidRDefault="009D6FD5">
            <w:pPr>
              <w:spacing w:after="0"/>
              <w:rPr>
                <w:rFonts w:cs="Arial"/>
                <w:sz w:val="18"/>
                <w:szCs w:val="18"/>
                <w:lang w:eastAsia="en-GB"/>
              </w:rPr>
            </w:pPr>
            <w:r w:rsidRPr="00B91524">
              <w:rPr>
                <w:rFonts w:cs="Arial"/>
                <w:sz w:val="18"/>
                <w:szCs w:val="18"/>
                <w:lang w:eastAsia="en-GB"/>
              </w:rPr>
              <w:t>HDD area. Bedrock reef recorded during 2011/2012 EIA survey. Sandy sediment recorded during 2019 survey.</w:t>
            </w:r>
          </w:p>
        </w:tc>
        <w:tc>
          <w:tcPr>
            <w:tcW w:w="191" w:type="pct"/>
            <w:tcBorders>
              <w:top w:val="nil"/>
              <w:left w:val="nil"/>
              <w:bottom w:val="single" w:sz="4" w:space="0" w:color="auto"/>
              <w:right w:val="single" w:sz="4" w:space="0" w:color="auto"/>
            </w:tcBorders>
            <w:shd w:val="clear" w:color="auto" w:fill="auto"/>
            <w:noWrap/>
            <w:vAlign w:val="center"/>
            <w:hideMark/>
          </w:tcPr>
          <w:p w14:paraId="49A07C90"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A</w:t>
            </w:r>
          </w:p>
        </w:tc>
        <w:tc>
          <w:tcPr>
            <w:tcW w:w="390" w:type="pct"/>
            <w:tcBorders>
              <w:top w:val="nil"/>
              <w:left w:val="nil"/>
              <w:bottom w:val="single" w:sz="4" w:space="0" w:color="auto"/>
              <w:right w:val="single" w:sz="4" w:space="0" w:color="auto"/>
            </w:tcBorders>
            <w:shd w:val="clear" w:color="auto" w:fill="auto"/>
            <w:noWrap/>
            <w:vAlign w:val="center"/>
            <w:hideMark/>
          </w:tcPr>
          <w:p w14:paraId="2CD7701D"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End</w:t>
            </w:r>
          </w:p>
        </w:tc>
        <w:tc>
          <w:tcPr>
            <w:tcW w:w="372" w:type="pct"/>
            <w:tcBorders>
              <w:top w:val="nil"/>
              <w:left w:val="nil"/>
              <w:bottom w:val="single" w:sz="4" w:space="0" w:color="auto"/>
              <w:right w:val="single" w:sz="4" w:space="0" w:color="auto"/>
            </w:tcBorders>
            <w:shd w:val="clear" w:color="auto" w:fill="auto"/>
            <w:noWrap/>
            <w:vAlign w:val="center"/>
            <w:hideMark/>
          </w:tcPr>
          <w:p w14:paraId="5FF4CD2B"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240561.67</w:t>
            </w:r>
          </w:p>
        </w:tc>
        <w:tc>
          <w:tcPr>
            <w:tcW w:w="446" w:type="pct"/>
            <w:tcBorders>
              <w:top w:val="nil"/>
              <w:left w:val="nil"/>
              <w:bottom w:val="single" w:sz="4" w:space="0" w:color="auto"/>
              <w:right w:val="single" w:sz="4" w:space="0" w:color="auto"/>
            </w:tcBorders>
            <w:shd w:val="clear" w:color="auto" w:fill="auto"/>
            <w:noWrap/>
            <w:vAlign w:val="center"/>
            <w:hideMark/>
          </w:tcPr>
          <w:p w14:paraId="4D6FD325"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6058169.46</w:t>
            </w:r>
          </w:p>
        </w:tc>
        <w:tc>
          <w:tcPr>
            <w:tcW w:w="171" w:type="pct"/>
            <w:tcBorders>
              <w:top w:val="nil"/>
              <w:left w:val="nil"/>
              <w:bottom w:val="single" w:sz="4" w:space="0" w:color="auto"/>
              <w:right w:val="single" w:sz="4" w:space="0" w:color="auto"/>
            </w:tcBorders>
            <w:shd w:val="clear" w:color="auto" w:fill="auto"/>
            <w:noWrap/>
            <w:vAlign w:val="center"/>
            <w:hideMark/>
          </w:tcPr>
          <w:p w14:paraId="56041B31"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1</w:t>
            </w:r>
          </w:p>
        </w:tc>
      </w:tr>
      <w:tr w:rsidR="009D6FD5" w:rsidRPr="00B91524" w14:paraId="3A570670" w14:textId="77777777" w:rsidTr="00843131">
        <w:trPr>
          <w:trHeight w:val="109"/>
        </w:trPr>
        <w:tc>
          <w:tcPr>
            <w:tcW w:w="176" w:type="pct"/>
            <w:tcBorders>
              <w:top w:val="nil"/>
              <w:left w:val="single" w:sz="4" w:space="0" w:color="auto"/>
              <w:bottom w:val="single" w:sz="4" w:space="0" w:color="auto"/>
              <w:right w:val="single" w:sz="4" w:space="0" w:color="auto"/>
            </w:tcBorders>
            <w:shd w:val="clear" w:color="auto" w:fill="auto"/>
            <w:noWrap/>
            <w:vAlign w:val="center"/>
            <w:hideMark/>
          </w:tcPr>
          <w:p w14:paraId="2687A9A6"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3</w:t>
            </w:r>
          </w:p>
        </w:tc>
        <w:tc>
          <w:tcPr>
            <w:tcW w:w="3254" w:type="pct"/>
            <w:tcBorders>
              <w:top w:val="nil"/>
              <w:left w:val="nil"/>
              <w:bottom w:val="single" w:sz="4" w:space="0" w:color="auto"/>
              <w:right w:val="single" w:sz="4" w:space="0" w:color="auto"/>
            </w:tcBorders>
            <w:shd w:val="clear" w:color="auto" w:fill="auto"/>
            <w:vAlign w:val="center"/>
            <w:hideMark/>
          </w:tcPr>
          <w:p w14:paraId="3D84115B" w14:textId="77777777" w:rsidR="009D6FD5" w:rsidRPr="00B91524" w:rsidRDefault="009D6FD5">
            <w:pPr>
              <w:spacing w:after="0"/>
              <w:rPr>
                <w:rFonts w:cs="Arial"/>
                <w:sz w:val="18"/>
                <w:szCs w:val="18"/>
                <w:lang w:eastAsia="en-GB"/>
              </w:rPr>
            </w:pPr>
            <w:r w:rsidRPr="00B91524">
              <w:rPr>
                <w:rFonts w:cs="Arial"/>
                <w:sz w:val="18"/>
                <w:szCs w:val="18"/>
                <w:lang w:eastAsia="en-GB"/>
              </w:rPr>
              <w:t>HDD area. Bedrock reef recorded during 2011/2012 EIA survey. No 2019 survey data coverage.</w:t>
            </w:r>
          </w:p>
        </w:tc>
        <w:tc>
          <w:tcPr>
            <w:tcW w:w="191" w:type="pct"/>
            <w:tcBorders>
              <w:top w:val="nil"/>
              <w:left w:val="nil"/>
              <w:bottom w:val="single" w:sz="4" w:space="0" w:color="auto"/>
              <w:right w:val="single" w:sz="4" w:space="0" w:color="auto"/>
            </w:tcBorders>
            <w:shd w:val="clear" w:color="auto" w:fill="auto"/>
            <w:noWrap/>
            <w:vAlign w:val="center"/>
            <w:hideMark/>
          </w:tcPr>
          <w:p w14:paraId="0E9AB7EA"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A/B</w:t>
            </w:r>
          </w:p>
        </w:tc>
        <w:tc>
          <w:tcPr>
            <w:tcW w:w="390" w:type="pct"/>
            <w:tcBorders>
              <w:top w:val="nil"/>
              <w:left w:val="nil"/>
              <w:bottom w:val="single" w:sz="4" w:space="0" w:color="auto"/>
              <w:right w:val="single" w:sz="4" w:space="0" w:color="auto"/>
            </w:tcBorders>
            <w:shd w:val="clear" w:color="auto" w:fill="auto"/>
            <w:noWrap/>
            <w:vAlign w:val="center"/>
            <w:hideMark/>
          </w:tcPr>
          <w:p w14:paraId="608E360A"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Start</w:t>
            </w:r>
          </w:p>
        </w:tc>
        <w:tc>
          <w:tcPr>
            <w:tcW w:w="372" w:type="pct"/>
            <w:tcBorders>
              <w:top w:val="nil"/>
              <w:left w:val="nil"/>
              <w:bottom w:val="single" w:sz="4" w:space="0" w:color="auto"/>
              <w:right w:val="single" w:sz="4" w:space="0" w:color="auto"/>
            </w:tcBorders>
            <w:shd w:val="clear" w:color="auto" w:fill="auto"/>
            <w:noWrap/>
            <w:vAlign w:val="center"/>
            <w:hideMark/>
          </w:tcPr>
          <w:p w14:paraId="4ABC1A03"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240416.00</w:t>
            </w:r>
          </w:p>
        </w:tc>
        <w:tc>
          <w:tcPr>
            <w:tcW w:w="446" w:type="pct"/>
            <w:tcBorders>
              <w:top w:val="nil"/>
              <w:left w:val="nil"/>
              <w:bottom w:val="single" w:sz="4" w:space="0" w:color="auto"/>
              <w:right w:val="single" w:sz="4" w:space="0" w:color="auto"/>
            </w:tcBorders>
            <w:shd w:val="clear" w:color="auto" w:fill="auto"/>
            <w:noWrap/>
            <w:vAlign w:val="center"/>
            <w:hideMark/>
          </w:tcPr>
          <w:p w14:paraId="2D3ED303"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6058412.59</w:t>
            </w:r>
          </w:p>
        </w:tc>
        <w:tc>
          <w:tcPr>
            <w:tcW w:w="171" w:type="pct"/>
            <w:tcBorders>
              <w:top w:val="nil"/>
              <w:left w:val="nil"/>
              <w:bottom w:val="single" w:sz="4" w:space="0" w:color="auto"/>
              <w:right w:val="single" w:sz="4" w:space="0" w:color="auto"/>
            </w:tcBorders>
            <w:shd w:val="clear" w:color="auto" w:fill="auto"/>
            <w:noWrap/>
            <w:vAlign w:val="center"/>
            <w:hideMark/>
          </w:tcPr>
          <w:p w14:paraId="5E31DF79"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1</w:t>
            </w:r>
          </w:p>
        </w:tc>
      </w:tr>
      <w:tr w:rsidR="009D6FD5" w:rsidRPr="00B91524" w14:paraId="03ACB21B" w14:textId="77777777" w:rsidTr="00843131">
        <w:trPr>
          <w:trHeight w:val="109"/>
        </w:trPr>
        <w:tc>
          <w:tcPr>
            <w:tcW w:w="176" w:type="pct"/>
            <w:tcBorders>
              <w:top w:val="nil"/>
              <w:left w:val="single" w:sz="4" w:space="0" w:color="auto"/>
              <w:bottom w:val="single" w:sz="4" w:space="0" w:color="auto"/>
              <w:right w:val="single" w:sz="4" w:space="0" w:color="auto"/>
            </w:tcBorders>
            <w:shd w:val="clear" w:color="auto" w:fill="auto"/>
            <w:noWrap/>
            <w:vAlign w:val="center"/>
            <w:hideMark/>
          </w:tcPr>
          <w:p w14:paraId="379EDC97"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3</w:t>
            </w:r>
          </w:p>
        </w:tc>
        <w:tc>
          <w:tcPr>
            <w:tcW w:w="3254" w:type="pct"/>
            <w:tcBorders>
              <w:top w:val="nil"/>
              <w:left w:val="nil"/>
              <w:bottom w:val="single" w:sz="4" w:space="0" w:color="auto"/>
              <w:right w:val="single" w:sz="4" w:space="0" w:color="auto"/>
            </w:tcBorders>
            <w:shd w:val="clear" w:color="auto" w:fill="auto"/>
            <w:vAlign w:val="center"/>
            <w:hideMark/>
          </w:tcPr>
          <w:p w14:paraId="648167E4" w14:textId="77777777" w:rsidR="009D6FD5" w:rsidRPr="00B91524" w:rsidRDefault="009D6FD5">
            <w:pPr>
              <w:spacing w:after="0"/>
              <w:rPr>
                <w:rFonts w:cs="Arial"/>
                <w:sz w:val="18"/>
                <w:szCs w:val="18"/>
                <w:lang w:eastAsia="en-GB"/>
              </w:rPr>
            </w:pPr>
            <w:r w:rsidRPr="00B91524">
              <w:rPr>
                <w:rFonts w:cs="Arial"/>
                <w:sz w:val="18"/>
                <w:szCs w:val="18"/>
                <w:lang w:eastAsia="en-GB"/>
              </w:rPr>
              <w:t>HDD area. Bedrock reef recorded during 2011/2012 EIA survey. No 2019 survey data coverage.</w:t>
            </w:r>
          </w:p>
        </w:tc>
        <w:tc>
          <w:tcPr>
            <w:tcW w:w="191" w:type="pct"/>
            <w:tcBorders>
              <w:top w:val="nil"/>
              <w:left w:val="nil"/>
              <w:bottom w:val="single" w:sz="4" w:space="0" w:color="auto"/>
              <w:right w:val="single" w:sz="4" w:space="0" w:color="auto"/>
            </w:tcBorders>
            <w:shd w:val="clear" w:color="auto" w:fill="auto"/>
            <w:noWrap/>
            <w:vAlign w:val="center"/>
            <w:hideMark/>
          </w:tcPr>
          <w:p w14:paraId="537B8A44"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A/B</w:t>
            </w:r>
          </w:p>
        </w:tc>
        <w:tc>
          <w:tcPr>
            <w:tcW w:w="390" w:type="pct"/>
            <w:tcBorders>
              <w:top w:val="nil"/>
              <w:left w:val="nil"/>
              <w:bottom w:val="single" w:sz="4" w:space="0" w:color="auto"/>
              <w:right w:val="single" w:sz="4" w:space="0" w:color="auto"/>
            </w:tcBorders>
            <w:shd w:val="clear" w:color="auto" w:fill="auto"/>
            <w:noWrap/>
            <w:vAlign w:val="center"/>
            <w:hideMark/>
          </w:tcPr>
          <w:p w14:paraId="457436E2"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End</w:t>
            </w:r>
          </w:p>
        </w:tc>
        <w:tc>
          <w:tcPr>
            <w:tcW w:w="372" w:type="pct"/>
            <w:tcBorders>
              <w:top w:val="nil"/>
              <w:left w:val="nil"/>
              <w:bottom w:val="single" w:sz="4" w:space="0" w:color="auto"/>
              <w:right w:val="single" w:sz="4" w:space="0" w:color="auto"/>
            </w:tcBorders>
            <w:shd w:val="clear" w:color="auto" w:fill="auto"/>
            <w:noWrap/>
            <w:vAlign w:val="center"/>
            <w:hideMark/>
          </w:tcPr>
          <w:p w14:paraId="166A5053"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240657.07</w:t>
            </w:r>
          </w:p>
        </w:tc>
        <w:tc>
          <w:tcPr>
            <w:tcW w:w="446" w:type="pct"/>
            <w:tcBorders>
              <w:top w:val="nil"/>
              <w:left w:val="nil"/>
              <w:bottom w:val="single" w:sz="4" w:space="0" w:color="auto"/>
              <w:right w:val="single" w:sz="4" w:space="0" w:color="auto"/>
            </w:tcBorders>
            <w:shd w:val="clear" w:color="auto" w:fill="auto"/>
            <w:noWrap/>
            <w:vAlign w:val="center"/>
            <w:hideMark/>
          </w:tcPr>
          <w:p w14:paraId="079839ED"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6058210.50</w:t>
            </w:r>
          </w:p>
        </w:tc>
        <w:tc>
          <w:tcPr>
            <w:tcW w:w="171" w:type="pct"/>
            <w:tcBorders>
              <w:top w:val="nil"/>
              <w:left w:val="nil"/>
              <w:bottom w:val="single" w:sz="4" w:space="0" w:color="auto"/>
              <w:right w:val="single" w:sz="4" w:space="0" w:color="auto"/>
            </w:tcBorders>
            <w:shd w:val="clear" w:color="auto" w:fill="auto"/>
            <w:noWrap/>
            <w:vAlign w:val="center"/>
            <w:hideMark/>
          </w:tcPr>
          <w:p w14:paraId="75F2EE4B"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1</w:t>
            </w:r>
          </w:p>
        </w:tc>
      </w:tr>
      <w:tr w:rsidR="009D6FD5" w:rsidRPr="00B91524" w14:paraId="59932C4F" w14:textId="77777777" w:rsidTr="00843131">
        <w:trPr>
          <w:trHeight w:val="109"/>
        </w:trPr>
        <w:tc>
          <w:tcPr>
            <w:tcW w:w="176" w:type="pct"/>
            <w:tcBorders>
              <w:top w:val="nil"/>
              <w:left w:val="single" w:sz="4" w:space="0" w:color="auto"/>
              <w:bottom w:val="single" w:sz="4" w:space="0" w:color="auto"/>
              <w:right w:val="single" w:sz="4" w:space="0" w:color="auto"/>
            </w:tcBorders>
            <w:shd w:val="clear" w:color="auto" w:fill="auto"/>
            <w:noWrap/>
            <w:vAlign w:val="center"/>
            <w:hideMark/>
          </w:tcPr>
          <w:p w14:paraId="133956DB"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4</w:t>
            </w:r>
          </w:p>
        </w:tc>
        <w:tc>
          <w:tcPr>
            <w:tcW w:w="3254" w:type="pct"/>
            <w:tcBorders>
              <w:top w:val="nil"/>
              <w:left w:val="nil"/>
              <w:bottom w:val="single" w:sz="4" w:space="0" w:color="auto"/>
              <w:right w:val="single" w:sz="4" w:space="0" w:color="auto"/>
            </w:tcBorders>
            <w:shd w:val="clear" w:color="auto" w:fill="auto"/>
            <w:vAlign w:val="center"/>
            <w:hideMark/>
          </w:tcPr>
          <w:p w14:paraId="19C5C702" w14:textId="77777777" w:rsidR="009D6FD5" w:rsidRPr="00B91524" w:rsidRDefault="009D6FD5">
            <w:pPr>
              <w:spacing w:after="0"/>
              <w:rPr>
                <w:rFonts w:cs="Arial"/>
                <w:sz w:val="18"/>
                <w:szCs w:val="18"/>
                <w:lang w:eastAsia="en-GB"/>
              </w:rPr>
            </w:pPr>
            <w:r w:rsidRPr="00B91524">
              <w:rPr>
                <w:rFonts w:cs="Arial"/>
                <w:sz w:val="18"/>
                <w:szCs w:val="18"/>
                <w:lang w:eastAsia="en-GB"/>
              </w:rPr>
              <w:t>HDD area. Bedrock reef recorded during 2011/2012 EIA survey. No 2019 survey data coverage.</w:t>
            </w:r>
          </w:p>
        </w:tc>
        <w:tc>
          <w:tcPr>
            <w:tcW w:w="191" w:type="pct"/>
            <w:tcBorders>
              <w:top w:val="nil"/>
              <w:left w:val="nil"/>
              <w:bottom w:val="single" w:sz="4" w:space="0" w:color="auto"/>
              <w:right w:val="single" w:sz="4" w:space="0" w:color="auto"/>
            </w:tcBorders>
            <w:shd w:val="clear" w:color="auto" w:fill="auto"/>
            <w:noWrap/>
            <w:vAlign w:val="center"/>
            <w:hideMark/>
          </w:tcPr>
          <w:p w14:paraId="53705B16"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B</w:t>
            </w:r>
          </w:p>
        </w:tc>
        <w:tc>
          <w:tcPr>
            <w:tcW w:w="390" w:type="pct"/>
            <w:tcBorders>
              <w:top w:val="nil"/>
              <w:left w:val="nil"/>
              <w:bottom w:val="single" w:sz="4" w:space="0" w:color="auto"/>
              <w:right w:val="single" w:sz="4" w:space="0" w:color="auto"/>
            </w:tcBorders>
            <w:shd w:val="clear" w:color="auto" w:fill="auto"/>
            <w:noWrap/>
            <w:vAlign w:val="center"/>
            <w:hideMark/>
          </w:tcPr>
          <w:p w14:paraId="18634026"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Start</w:t>
            </w:r>
          </w:p>
        </w:tc>
        <w:tc>
          <w:tcPr>
            <w:tcW w:w="372" w:type="pct"/>
            <w:tcBorders>
              <w:top w:val="nil"/>
              <w:left w:val="nil"/>
              <w:bottom w:val="single" w:sz="4" w:space="0" w:color="auto"/>
              <w:right w:val="single" w:sz="4" w:space="0" w:color="auto"/>
            </w:tcBorders>
            <w:shd w:val="clear" w:color="auto" w:fill="auto"/>
            <w:noWrap/>
            <w:vAlign w:val="center"/>
            <w:hideMark/>
          </w:tcPr>
          <w:p w14:paraId="32A0AD86"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240487.81</w:t>
            </w:r>
          </w:p>
        </w:tc>
        <w:tc>
          <w:tcPr>
            <w:tcW w:w="446" w:type="pct"/>
            <w:tcBorders>
              <w:top w:val="nil"/>
              <w:left w:val="nil"/>
              <w:bottom w:val="single" w:sz="4" w:space="0" w:color="auto"/>
              <w:right w:val="single" w:sz="4" w:space="0" w:color="auto"/>
            </w:tcBorders>
            <w:shd w:val="clear" w:color="auto" w:fill="auto"/>
            <w:noWrap/>
            <w:vAlign w:val="center"/>
            <w:hideMark/>
          </w:tcPr>
          <w:p w14:paraId="592DBE9A"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6058487.47</w:t>
            </w:r>
          </w:p>
        </w:tc>
        <w:tc>
          <w:tcPr>
            <w:tcW w:w="171" w:type="pct"/>
            <w:tcBorders>
              <w:top w:val="nil"/>
              <w:left w:val="nil"/>
              <w:bottom w:val="single" w:sz="4" w:space="0" w:color="auto"/>
              <w:right w:val="single" w:sz="4" w:space="0" w:color="auto"/>
            </w:tcBorders>
            <w:shd w:val="clear" w:color="auto" w:fill="auto"/>
            <w:noWrap/>
            <w:vAlign w:val="center"/>
            <w:hideMark/>
          </w:tcPr>
          <w:p w14:paraId="4AF5FA61"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1</w:t>
            </w:r>
          </w:p>
        </w:tc>
      </w:tr>
      <w:tr w:rsidR="009D6FD5" w:rsidRPr="00B91524" w14:paraId="3E4562FB" w14:textId="77777777" w:rsidTr="00843131">
        <w:trPr>
          <w:trHeight w:val="109"/>
        </w:trPr>
        <w:tc>
          <w:tcPr>
            <w:tcW w:w="176" w:type="pct"/>
            <w:tcBorders>
              <w:top w:val="nil"/>
              <w:left w:val="single" w:sz="4" w:space="0" w:color="auto"/>
              <w:bottom w:val="single" w:sz="4" w:space="0" w:color="auto"/>
              <w:right w:val="single" w:sz="4" w:space="0" w:color="auto"/>
            </w:tcBorders>
            <w:shd w:val="clear" w:color="auto" w:fill="auto"/>
            <w:noWrap/>
            <w:vAlign w:val="center"/>
            <w:hideMark/>
          </w:tcPr>
          <w:p w14:paraId="7E17C111"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4</w:t>
            </w:r>
          </w:p>
        </w:tc>
        <w:tc>
          <w:tcPr>
            <w:tcW w:w="3254" w:type="pct"/>
            <w:tcBorders>
              <w:top w:val="nil"/>
              <w:left w:val="nil"/>
              <w:bottom w:val="single" w:sz="4" w:space="0" w:color="auto"/>
              <w:right w:val="single" w:sz="4" w:space="0" w:color="auto"/>
            </w:tcBorders>
            <w:shd w:val="clear" w:color="auto" w:fill="auto"/>
            <w:vAlign w:val="center"/>
            <w:hideMark/>
          </w:tcPr>
          <w:p w14:paraId="7056985E" w14:textId="77777777" w:rsidR="009D6FD5" w:rsidRPr="00B91524" w:rsidRDefault="009D6FD5">
            <w:pPr>
              <w:spacing w:after="0"/>
              <w:rPr>
                <w:rFonts w:cs="Arial"/>
                <w:sz w:val="18"/>
                <w:szCs w:val="18"/>
                <w:lang w:eastAsia="en-GB"/>
              </w:rPr>
            </w:pPr>
            <w:r w:rsidRPr="00B91524">
              <w:rPr>
                <w:rFonts w:cs="Arial"/>
                <w:sz w:val="18"/>
                <w:szCs w:val="18"/>
                <w:lang w:eastAsia="en-GB"/>
              </w:rPr>
              <w:t>HDD area. Bedrock reef recorded during 2011/2012 EIA survey. No 2019 survey data coverage.</w:t>
            </w:r>
          </w:p>
        </w:tc>
        <w:tc>
          <w:tcPr>
            <w:tcW w:w="191" w:type="pct"/>
            <w:tcBorders>
              <w:top w:val="nil"/>
              <w:left w:val="nil"/>
              <w:bottom w:val="single" w:sz="4" w:space="0" w:color="auto"/>
              <w:right w:val="single" w:sz="4" w:space="0" w:color="auto"/>
            </w:tcBorders>
            <w:shd w:val="clear" w:color="auto" w:fill="auto"/>
            <w:noWrap/>
            <w:vAlign w:val="center"/>
            <w:hideMark/>
          </w:tcPr>
          <w:p w14:paraId="45203D44"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B</w:t>
            </w:r>
          </w:p>
        </w:tc>
        <w:tc>
          <w:tcPr>
            <w:tcW w:w="390" w:type="pct"/>
            <w:tcBorders>
              <w:top w:val="nil"/>
              <w:left w:val="nil"/>
              <w:bottom w:val="single" w:sz="4" w:space="0" w:color="auto"/>
              <w:right w:val="single" w:sz="4" w:space="0" w:color="auto"/>
            </w:tcBorders>
            <w:shd w:val="clear" w:color="auto" w:fill="auto"/>
            <w:noWrap/>
            <w:vAlign w:val="center"/>
            <w:hideMark/>
          </w:tcPr>
          <w:p w14:paraId="00DB41EF"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End</w:t>
            </w:r>
          </w:p>
        </w:tc>
        <w:tc>
          <w:tcPr>
            <w:tcW w:w="372" w:type="pct"/>
            <w:tcBorders>
              <w:top w:val="nil"/>
              <w:left w:val="nil"/>
              <w:bottom w:val="single" w:sz="4" w:space="0" w:color="auto"/>
              <w:right w:val="single" w:sz="4" w:space="0" w:color="auto"/>
            </w:tcBorders>
            <w:shd w:val="clear" w:color="auto" w:fill="auto"/>
            <w:noWrap/>
            <w:vAlign w:val="center"/>
            <w:hideMark/>
          </w:tcPr>
          <w:p w14:paraId="767D1456"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240757.61</w:t>
            </w:r>
          </w:p>
        </w:tc>
        <w:tc>
          <w:tcPr>
            <w:tcW w:w="446" w:type="pct"/>
            <w:tcBorders>
              <w:top w:val="nil"/>
              <w:left w:val="nil"/>
              <w:bottom w:val="single" w:sz="4" w:space="0" w:color="auto"/>
              <w:right w:val="single" w:sz="4" w:space="0" w:color="auto"/>
            </w:tcBorders>
            <w:shd w:val="clear" w:color="auto" w:fill="auto"/>
            <w:noWrap/>
            <w:vAlign w:val="center"/>
            <w:hideMark/>
          </w:tcPr>
          <w:p w14:paraId="37820F05"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6058263.84</w:t>
            </w:r>
          </w:p>
        </w:tc>
        <w:tc>
          <w:tcPr>
            <w:tcW w:w="171" w:type="pct"/>
            <w:tcBorders>
              <w:top w:val="nil"/>
              <w:left w:val="nil"/>
              <w:bottom w:val="single" w:sz="4" w:space="0" w:color="auto"/>
              <w:right w:val="single" w:sz="4" w:space="0" w:color="auto"/>
            </w:tcBorders>
            <w:shd w:val="clear" w:color="auto" w:fill="auto"/>
            <w:noWrap/>
            <w:vAlign w:val="center"/>
            <w:hideMark/>
          </w:tcPr>
          <w:p w14:paraId="138707DD"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1</w:t>
            </w:r>
          </w:p>
        </w:tc>
      </w:tr>
      <w:tr w:rsidR="009D6FD5" w:rsidRPr="00B91524" w14:paraId="60D82447" w14:textId="77777777" w:rsidTr="00843131">
        <w:trPr>
          <w:trHeight w:val="219"/>
        </w:trPr>
        <w:tc>
          <w:tcPr>
            <w:tcW w:w="176" w:type="pct"/>
            <w:tcBorders>
              <w:top w:val="nil"/>
              <w:left w:val="single" w:sz="4" w:space="0" w:color="auto"/>
              <w:bottom w:val="single" w:sz="4" w:space="0" w:color="auto"/>
              <w:right w:val="single" w:sz="4" w:space="0" w:color="auto"/>
            </w:tcBorders>
            <w:shd w:val="clear" w:color="auto" w:fill="auto"/>
            <w:noWrap/>
            <w:vAlign w:val="center"/>
            <w:hideMark/>
          </w:tcPr>
          <w:p w14:paraId="06F30BC8"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5</w:t>
            </w:r>
          </w:p>
        </w:tc>
        <w:tc>
          <w:tcPr>
            <w:tcW w:w="3254" w:type="pct"/>
            <w:tcBorders>
              <w:top w:val="nil"/>
              <w:left w:val="nil"/>
              <w:bottom w:val="single" w:sz="4" w:space="0" w:color="auto"/>
              <w:right w:val="single" w:sz="4" w:space="0" w:color="auto"/>
            </w:tcBorders>
            <w:shd w:val="clear" w:color="auto" w:fill="auto"/>
            <w:vAlign w:val="center"/>
            <w:hideMark/>
          </w:tcPr>
          <w:p w14:paraId="3517ADE8" w14:textId="3E87A0ED" w:rsidR="009D6FD5" w:rsidRPr="00B91524" w:rsidRDefault="009D6FD5">
            <w:pPr>
              <w:spacing w:after="0"/>
              <w:rPr>
                <w:rFonts w:cs="Arial"/>
                <w:sz w:val="18"/>
                <w:szCs w:val="18"/>
                <w:lang w:eastAsia="en-GB"/>
              </w:rPr>
            </w:pPr>
            <w:r w:rsidRPr="00B91524">
              <w:rPr>
                <w:rFonts w:cs="Arial"/>
                <w:sz w:val="18"/>
                <w:szCs w:val="18"/>
                <w:lang w:eastAsia="en-GB"/>
              </w:rPr>
              <w:t>HDD area. Bedrock reef recorded during 2011/2012 EIA survey. Sandy sediment recorded during 2019 survey.</w:t>
            </w:r>
          </w:p>
        </w:tc>
        <w:tc>
          <w:tcPr>
            <w:tcW w:w="191" w:type="pct"/>
            <w:tcBorders>
              <w:top w:val="nil"/>
              <w:left w:val="nil"/>
              <w:bottom w:val="single" w:sz="4" w:space="0" w:color="auto"/>
              <w:right w:val="single" w:sz="4" w:space="0" w:color="auto"/>
            </w:tcBorders>
            <w:shd w:val="clear" w:color="auto" w:fill="auto"/>
            <w:noWrap/>
            <w:vAlign w:val="center"/>
            <w:hideMark/>
          </w:tcPr>
          <w:p w14:paraId="6877643C"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B</w:t>
            </w:r>
          </w:p>
        </w:tc>
        <w:tc>
          <w:tcPr>
            <w:tcW w:w="390" w:type="pct"/>
            <w:tcBorders>
              <w:top w:val="nil"/>
              <w:left w:val="nil"/>
              <w:bottom w:val="single" w:sz="4" w:space="0" w:color="auto"/>
              <w:right w:val="single" w:sz="4" w:space="0" w:color="auto"/>
            </w:tcBorders>
            <w:shd w:val="clear" w:color="auto" w:fill="auto"/>
            <w:noWrap/>
            <w:vAlign w:val="center"/>
            <w:hideMark/>
          </w:tcPr>
          <w:p w14:paraId="474D5286"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Start</w:t>
            </w:r>
          </w:p>
        </w:tc>
        <w:tc>
          <w:tcPr>
            <w:tcW w:w="372" w:type="pct"/>
            <w:tcBorders>
              <w:top w:val="nil"/>
              <w:left w:val="nil"/>
              <w:bottom w:val="single" w:sz="4" w:space="0" w:color="auto"/>
              <w:right w:val="single" w:sz="4" w:space="0" w:color="auto"/>
            </w:tcBorders>
            <w:shd w:val="clear" w:color="auto" w:fill="auto"/>
            <w:noWrap/>
            <w:vAlign w:val="center"/>
            <w:hideMark/>
          </w:tcPr>
          <w:p w14:paraId="7C63BAC3"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240483.50</w:t>
            </w:r>
          </w:p>
        </w:tc>
        <w:tc>
          <w:tcPr>
            <w:tcW w:w="446" w:type="pct"/>
            <w:tcBorders>
              <w:top w:val="nil"/>
              <w:left w:val="nil"/>
              <w:bottom w:val="single" w:sz="4" w:space="0" w:color="auto"/>
              <w:right w:val="single" w:sz="4" w:space="0" w:color="auto"/>
            </w:tcBorders>
            <w:shd w:val="clear" w:color="auto" w:fill="auto"/>
            <w:noWrap/>
            <w:vAlign w:val="center"/>
            <w:hideMark/>
          </w:tcPr>
          <w:p w14:paraId="1900D41C"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6058167.15</w:t>
            </w:r>
          </w:p>
        </w:tc>
        <w:tc>
          <w:tcPr>
            <w:tcW w:w="171" w:type="pct"/>
            <w:tcBorders>
              <w:top w:val="nil"/>
              <w:left w:val="nil"/>
              <w:bottom w:val="single" w:sz="4" w:space="0" w:color="auto"/>
              <w:right w:val="single" w:sz="4" w:space="0" w:color="auto"/>
            </w:tcBorders>
            <w:shd w:val="clear" w:color="auto" w:fill="auto"/>
            <w:noWrap/>
            <w:vAlign w:val="center"/>
            <w:hideMark/>
          </w:tcPr>
          <w:p w14:paraId="4FD60705"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1</w:t>
            </w:r>
          </w:p>
        </w:tc>
      </w:tr>
      <w:tr w:rsidR="009D6FD5" w:rsidRPr="00B91524" w14:paraId="581FEC76" w14:textId="77777777" w:rsidTr="00843131">
        <w:trPr>
          <w:trHeight w:val="219"/>
        </w:trPr>
        <w:tc>
          <w:tcPr>
            <w:tcW w:w="176" w:type="pct"/>
            <w:tcBorders>
              <w:top w:val="nil"/>
              <w:left w:val="single" w:sz="4" w:space="0" w:color="auto"/>
              <w:bottom w:val="single" w:sz="4" w:space="0" w:color="auto"/>
              <w:right w:val="single" w:sz="4" w:space="0" w:color="auto"/>
            </w:tcBorders>
            <w:shd w:val="clear" w:color="auto" w:fill="auto"/>
            <w:noWrap/>
            <w:vAlign w:val="center"/>
            <w:hideMark/>
          </w:tcPr>
          <w:p w14:paraId="5EF4B359"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5</w:t>
            </w:r>
          </w:p>
        </w:tc>
        <w:tc>
          <w:tcPr>
            <w:tcW w:w="3254" w:type="pct"/>
            <w:tcBorders>
              <w:top w:val="nil"/>
              <w:left w:val="nil"/>
              <w:bottom w:val="single" w:sz="4" w:space="0" w:color="auto"/>
              <w:right w:val="single" w:sz="4" w:space="0" w:color="auto"/>
            </w:tcBorders>
            <w:shd w:val="clear" w:color="auto" w:fill="auto"/>
            <w:vAlign w:val="center"/>
            <w:hideMark/>
          </w:tcPr>
          <w:p w14:paraId="6C914B53" w14:textId="487BCB04" w:rsidR="009D6FD5" w:rsidRPr="00B91524" w:rsidRDefault="009D6FD5">
            <w:pPr>
              <w:spacing w:after="0"/>
              <w:rPr>
                <w:rFonts w:cs="Arial"/>
                <w:sz w:val="18"/>
                <w:szCs w:val="18"/>
                <w:lang w:eastAsia="en-GB"/>
              </w:rPr>
            </w:pPr>
            <w:r w:rsidRPr="00B91524">
              <w:rPr>
                <w:rFonts w:cs="Arial"/>
                <w:sz w:val="18"/>
                <w:szCs w:val="18"/>
                <w:lang w:eastAsia="en-GB"/>
              </w:rPr>
              <w:t>HDD area. Bedrock reef recorded during 2011/2012 EIA survey. Sandy sediment recorded during 2019 survey.</w:t>
            </w:r>
          </w:p>
        </w:tc>
        <w:tc>
          <w:tcPr>
            <w:tcW w:w="191" w:type="pct"/>
            <w:tcBorders>
              <w:top w:val="nil"/>
              <w:left w:val="nil"/>
              <w:bottom w:val="single" w:sz="4" w:space="0" w:color="auto"/>
              <w:right w:val="single" w:sz="4" w:space="0" w:color="auto"/>
            </w:tcBorders>
            <w:shd w:val="clear" w:color="auto" w:fill="auto"/>
            <w:noWrap/>
            <w:vAlign w:val="center"/>
            <w:hideMark/>
          </w:tcPr>
          <w:p w14:paraId="1D03A1DF"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B</w:t>
            </w:r>
          </w:p>
        </w:tc>
        <w:tc>
          <w:tcPr>
            <w:tcW w:w="390" w:type="pct"/>
            <w:tcBorders>
              <w:top w:val="nil"/>
              <w:left w:val="nil"/>
              <w:bottom w:val="single" w:sz="4" w:space="0" w:color="auto"/>
              <w:right w:val="single" w:sz="4" w:space="0" w:color="auto"/>
            </w:tcBorders>
            <w:shd w:val="clear" w:color="auto" w:fill="auto"/>
            <w:noWrap/>
            <w:vAlign w:val="center"/>
            <w:hideMark/>
          </w:tcPr>
          <w:p w14:paraId="2F659F16"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End</w:t>
            </w:r>
          </w:p>
        </w:tc>
        <w:tc>
          <w:tcPr>
            <w:tcW w:w="372" w:type="pct"/>
            <w:tcBorders>
              <w:top w:val="nil"/>
              <w:left w:val="nil"/>
              <w:bottom w:val="single" w:sz="4" w:space="0" w:color="auto"/>
              <w:right w:val="single" w:sz="4" w:space="0" w:color="auto"/>
            </w:tcBorders>
            <w:shd w:val="clear" w:color="auto" w:fill="auto"/>
            <w:noWrap/>
            <w:vAlign w:val="center"/>
            <w:hideMark/>
          </w:tcPr>
          <w:p w14:paraId="6894D5DF"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240781.20</w:t>
            </w:r>
          </w:p>
        </w:tc>
        <w:tc>
          <w:tcPr>
            <w:tcW w:w="446" w:type="pct"/>
            <w:tcBorders>
              <w:top w:val="nil"/>
              <w:left w:val="nil"/>
              <w:bottom w:val="single" w:sz="4" w:space="0" w:color="auto"/>
              <w:right w:val="single" w:sz="4" w:space="0" w:color="auto"/>
            </w:tcBorders>
            <w:shd w:val="clear" w:color="auto" w:fill="auto"/>
            <w:noWrap/>
            <w:vAlign w:val="center"/>
            <w:hideMark/>
          </w:tcPr>
          <w:p w14:paraId="30DDC5C5"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6058346.93</w:t>
            </w:r>
          </w:p>
        </w:tc>
        <w:tc>
          <w:tcPr>
            <w:tcW w:w="171" w:type="pct"/>
            <w:tcBorders>
              <w:top w:val="nil"/>
              <w:left w:val="nil"/>
              <w:bottom w:val="single" w:sz="4" w:space="0" w:color="auto"/>
              <w:right w:val="single" w:sz="4" w:space="0" w:color="auto"/>
            </w:tcBorders>
            <w:shd w:val="clear" w:color="auto" w:fill="auto"/>
            <w:noWrap/>
            <w:vAlign w:val="center"/>
            <w:hideMark/>
          </w:tcPr>
          <w:p w14:paraId="46F8F6C6"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1</w:t>
            </w:r>
          </w:p>
        </w:tc>
      </w:tr>
      <w:tr w:rsidR="009D6FD5" w:rsidRPr="00B91524" w14:paraId="5A28B788" w14:textId="77777777" w:rsidTr="00843131">
        <w:trPr>
          <w:trHeight w:val="219"/>
        </w:trPr>
        <w:tc>
          <w:tcPr>
            <w:tcW w:w="176" w:type="pct"/>
            <w:tcBorders>
              <w:top w:val="nil"/>
              <w:left w:val="single" w:sz="4" w:space="0" w:color="auto"/>
              <w:bottom w:val="single" w:sz="4" w:space="0" w:color="auto"/>
              <w:right w:val="single" w:sz="4" w:space="0" w:color="auto"/>
            </w:tcBorders>
            <w:shd w:val="clear" w:color="auto" w:fill="auto"/>
            <w:noWrap/>
            <w:vAlign w:val="center"/>
            <w:hideMark/>
          </w:tcPr>
          <w:p w14:paraId="5BBF3F3C"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w:t>
            </w:r>
          </w:p>
        </w:tc>
        <w:tc>
          <w:tcPr>
            <w:tcW w:w="3254" w:type="pct"/>
            <w:tcBorders>
              <w:top w:val="nil"/>
              <w:left w:val="nil"/>
              <w:bottom w:val="single" w:sz="4" w:space="0" w:color="auto"/>
              <w:right w:val="single" w:sz="4" w:space="0" w:color="auto"/>
            </w:tcBorders>
            <w:shd w:val="clear" w:color="auto" w:fill="auto"/>
            <w:vAlign w:val="center"/>
            <w:hideMark/>
          </w:tcPr>
          <w:p w14:paraId="52E9CEDE" w14:textId="77777777" w:rsidR="009D6FD5" w:rsidRPr="00B91524" w:rsidRDefault="009D6FD5">
            <w:pPr>
              <w:spacing w:after="0"/>
              <w:rPr>
                <w:rFonts w:cs="Arial"/>
                <w:sz w:val="18"/>
                <w:szCs w:val="18"/>
                <w:lang w:eastAsia="en-GB"/>
              </w:rPr>
            </w:pPr>
            <w:r w:rsidRPr="00B91524">
              <w:rPr>
                <w:rFonts w:cs="Arial"/>
                <w:sz w:val="18"/>
                <w:szCs w:val="18"/>
                <w:lang w:eastAsia="en-GB"/>
              </w:rPr>
              <w:t xml:space="preserve">Mixed sediment mapped during 2011/2012 EIA survey and bedrock / stony reef and clay exposure mosaic recorded during 2019 Site </w:t>
            </w:r>
            <w:proofErr w:type="spellStart"/>
            <w:r w:rsidRPr="00B91524">
              <w:rPr>
                <w:rFonts w:cs="Arial"/>
                <w:sz w:val="18"/>
                <w:szCs w:val="18"/>
                <w:lang w:eastAsia="en-GB"/>
              </w:rPr>
              <w:t>Charaterisation</w:t>
            </w:r>
            <w:proofErr w:type="spellEnd"/>
            <w:r w:rsidRPr="00B91524">
              <w:rPr>
                <w:rFonts w:cs="Arial"/>
                <w:sz w:val="18"/>
                <w:szCs w:val="18"/>
                <w:lang w:eastAsia="en-GB"/>
              </w:rPr>
              <w:t xml:space="preserve"> survey.</w:t>
            </w:r>
          </w:p>
        </w:tc>
        <w:tc>
          <w:tcPr>
            <w:tcW w:w="191" w:type="pct"/>
            <w:tcBorders>
              <w:top w:val="nil"/>
              <w:left w:val="nil"/>
              <w:bottom w:val="single" w:sz="4" w:space="0" w:color="auto"/>
              <w:right w:val="single" w:sz="4" w:space="0" w:color="auto"/>
            </w:tcBorders>
            <w:shd w:val="clear" w:color="auto" w:fill="auto"/>
            <w:noWrap/>
            <w:vAlign w:val="center"/>
            <w:hideMark/>
          </w:tcPr>
          <w:p w14:paraId="6EB1EDF7"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C</w:t>
            </w:r>
          </w:p>
        </w:tc>
        <w:tc>
          <w:tcPr>
            <w:tcW w:w="390" w:type="pct"/>
            <w:tcBorders>
              <w:top w:val="nil"/>
              <w:left w:val="nil"/>
              <w:bottom w:val="single" w:sz="4" w:space="0" w:color="auto"/>
              <w:right w:val="single" w:sz="4" w:space="0" w:color="auto"/>
            </w:tcBorders>
            <w:shd w:val="clear" w:color="auto" w:fill="auto"/>
            <w:noWrap/>
            <w:vAlign w:val="center"/>
            <w:hideMark/>
          </w:tcPr>
          <w:p w14:paraId="3B031C55"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Start</w:t>
            </w:r>
          </w:p>
        </w:tc>
        <w:tc>
          <w:tcPr>
            <w:tcW w:w="372" w:type="pct"/>
            <w:tcBorders>
              <w:top w:val="nil"/>
              <w:left w:val="nil"/>
              <w:bottom w:val="single" w:sz="4" w:space="0" w:color="auto"/>
              <w:right w:val="single" w:sz="4" w:space="0" w:color="auto"/>
            </w:tcBorders>
            <w:shd w:val="clear" w:color="auto" w:fill="auto"/>
            <w:noWrap/>
            <w:vAlign w:val="center"/>
            <w:hideMark/>
          </w:tcPr>
          <w:p w14:paraId="0162CF9C"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243971.13</w:t>
            </w:r>
          </w:p>
        </w:tc>
        <w:tc>
          <w:tcPr>
            <w:tcW w:w="446" w:type="pct"/>
            <w:tcBorders>
              <w:top w:val="nil"/>
              <w:left w:val="nil"/>
              <w:bottom w:val="single" w:sz="4" w:space="0" w:color="auto"/>
              <w:right w:val="single" w:sz="4" w:space="0" w:color="auto"/>
            </w:tcBorders>
            <w:shd w:val="clear" w:color="auto" w:fill="auto"/>
            <w:noWrap/>
            <w:vAlign w:val="center"/>
            <w:hideMark/>
          </w:tcPr>
          <w:p w14:paraId="46C34845"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6058380.37</w:t>
            </w:r>
          </w:p>
        </w:tc>
        <w:tc>
          <w:tcPr>
            <w:tcW w:w="171" w:type="pct"/>
            <w:tcBorders>
              <w:top w:val="nil"/>
              <w:left w:val="nil"/>
              <w:bottom w:val="single" w:sz="4" w:space="0" w:color="auto"/>
              <w:right w:val="single" w:sz="4" w:space="0" w:color="auto"/>
            </w:tcBorders>
            <w:shd w:val="clear" w:color="auto" w:fill="auto"/>
            <w:noWrap/>
            <w:vAlign w:val="center"/>
            <w:hideMark/>
          </w:tcPr>
          <w:p w14:paraId="4CB86C8A"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4.8</w:t>
            </w:r>
          </w:p>
        </w:tc>
      </w:tr>
      <w:tr w:rsidR="009D6FD5" w:rsidRPr="00B91524" w14:paraId="229607BD" w14:textId="77777777" w:rsidTr="00843131">
        <w:trPr>
          <w:trHeight w:val="219"/>
        </w:trPr>
        <w:tc>
          <w:tcPr>
            <w:tcW w:w="176" w:type="pct"/>
            <w:tcBorders>
              <w:top w:val="nil"/>
              <w:left w:val="single" w:sz="4" w:space="0" w:color="auto"/>
              <w:bottom w:val="single" w:sz="4" w:space="0" w:color="auto"/>
              <w:right w:val="single" w:sz="4" w:space="0" w:color="auto"/>
            </w:tcBorders>
            <w:shd w:val="clear" w:color="auto" w:fill="auto"/>
            <w:noWrap/>
            <w:vAlign w:val="center"/>
            <w:hideMark/>
          </w:tcPr>
          <w:p w14:paraId="6715CE98"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w:t>
            </w:r>
          </w:p>
        </w:tc>
        <w:tc>
          <w:tcPr>
            <w:tcW w:w="3254" w:type="pct"/>
            <w:tcBorders>
              <w:top w:val="nil"/>
              <w:left w:val="nil"/>
              <w:bottom w:val="single" w:sz="4" w:space="0" w:color="auto"/>
              <w:right w:val="single" w:sz="4" w:space="0" w:color="auto"/>
            </w:tcBorders>
            <w:shd w:val="clear" w:color="auto" w:fill="auto"/>
            <w:vAlign w:val="center"/>
            <w:hideMark/>
          </w:tcPr>
          <w:p w14:paraId="4AA39687" w14:textId="77777777" w:rsidR="009D6FD5" w:rsidRPr="00B91524" w:rsidRDefault="009D6FD5">
            <w:pPr>
              <w:spacing w:after="0"/>
              <w:rPr>
                <w:rFonts w:cs="Arial"/>
                <w:sz w:val="18"/>
                <w:szCs w:val="18"/>
                <w:lang w:eastAsia="en-GB"/>
              </w:rPr>
            </w:pPr>
            <w:r w:rsidRPr="00B91524">
              <w:rPr>
                <w:rFonts w:cs="Arial"/>
                <w:sz w:val="18"/>
                <w:szCs w:val="18"/>
                <w:lang w:eastAsia="en-GB"/>
              </w:rPr>
              <w:t xml:space="preserve">Mixed sediment mapped during 2011/2012 EIA survey and bedrock / stony reef and clay exposure mosaic recorded during 2019 Site </w:t>
            </w:r>
            <w:proofErr w:type="spellStart"/>
            <w:r w:rsidRPr="00B91524">
              <w:rPr>
                <w:rFonts w:cs="Arial"/>
                <w:sz w:val="18"/>
                <w:szCs w:val="18"/>
                <w:lang w:eastAsia="en-GB"/>
              </w:rPr>
              <w:t>Charaterisation</w:t>
            </w:r>
            <w:proofErr w:type="spellEnd"/>
            <w:r w:rsidRPr="00B91524">
              <w:rPr>
                <w:rFonts w:cs="Arial"/>
                <w:sz w:val="18"/>
                <w:szCs w:val="18"/>
                <w:lang w:eastAsia="en-GB"/>
              </w:rPr>
              <w:t xml:space="preserve"> survey.</w:t>
            </w:r>
          </w:p>
        </w:tc>
        <w:tc>
          <w:tcPr>
            <w:tcW w:w="191" w:type="pct"/>
            <w:tcBorders>
              <w:top w:val="nil"/>
              <w:left w:val="nil"/>
              <w:bottom w:val="single" w:sz="4" w:space="0" w:color="auto"/>
              <w:right w:val="single" w:sz="4" w:space="0" w:color="auto"/>
            </w:tcBorders>
            <w:shd w:val="clear" w:color="auto" w:fill="auto"/>
            <w:noWrap/>
            <w:vAlign w:val="center"/>
            <w:hideMark/>
          </w:tcPr>
          <w:p w14:paraId="00D295CF"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C</w:t>
            </w:r>
          </w:p>
        </w:tc>
        <w:tc>
          <w:tcPr>
            <w:tcW w:w="390" w:type="pct"/>
            <w:tcBorders>
              <w:top w:val="nil"/>
              <w:left w:val="nil"/>
              <w:bottom w:val="single" w:sz="4" w:space="0" w:color="auto"/>
              <w:right w:val="single" w:sz="4" w:space="0" w:color="auto"/>
            </w:tcBorders>
            <w:shd w:val="clear" w:color="auto" w:fill="auto"/>
            <w:noWrap/>
            <w:vAlign w:val="center"/>
            <w:hideMark/>
          </w:tcPr>
          <w:p w14:paraId="29C9D4BB"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End</w:t>
            </w:r>
          </w:p>
        </w:tc>
        <w:tc>
          <w:tcPr>
            <w:tcW w:w="372" w:type="pct"/>
            <w:tcBorders>
              <w:top w:val="nil"/>
              <w:left w:val="nil"/>
              <w:bottom w:val="single" w:sz="4" w:space="0" w:color="auto"/>
              <w:right w:val="single" w:sz="4" w:space="0" w:color="auto"/>
            </w:tcBorders>
            <w:shd w:val="clear" w:color="auto" w:fill="auto"/>
            <w:noWrap/>
            <w:vAlign w:val="center"/>
            <w:hideMark/>
          </w:tcPr>
          <w:p w14:paraId="3EF2DC0E"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244259.62</w:t>
            </w:r>
          </w:p>
        </w:tc>
        <w:tc>
          <w:tcPr>
            <w:tcW w:w="446" w:type="pct"/>
            <w:tcBorders>
              <w:top w:val="nil"/>
              <w:left w:val="nil"/>
              <w:bottom w:val="single" w:sz="4" w:space="0" w:color="auto"/>
              <w:right w:val="single" w:sz="4" w:space="0" w:color="auto"/>
            </w:tcBorders>
            <w:shd w:val="clear" w:color="auto" w:fill="auto"/>
            <w:noWrap/>
            <w:vAlign w:val="center"/>
            <w:hideMark/>
          </w:tcPr>
          <w:p w14:paraId="05F0ED6D"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6058380.20</w:t>
            </w:r>
          </w:p>
        </w:tc>
        <w:tc>
          <w:tcPr>
            <w:tcW w:w="171" w:type="pct"/>
            <w:tcBorders>
              <w:top w:val="nil"/>
              <w:left w:val="nil"/>
              <w:bottom w:val="single" w:sz="4" w:space="0" w:color="auto"/>
              <w:right w:val="single" w:sz="4" w:space="0" w:color="auto"/>
            </w:tcBorders>
            <w:shd w:val="clear" w:color="auto" w:fill="auto"/>
            <w:noWrap/>
            <w:vAlign w:val="center"/>
            <w:hideMark/>
          </w:tcPr>
          <w:p w14:paraId="06D132C9"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4.8</w:t>
            </w:r>
          </w:p>
        </w:tc>
      </w:tr>
      <w:tr w:rsidR="009D6FD5" w:rsidRPr="00B91524" w14:paraId="7365A0F3" w14:textId="77777777" w:rsidTr="00843131">
        <w:trPr>
          <w:trHeight w:val="219"/>
        </w:trPr>
        <w:tc>
          <w:tcPr>
            <w:tcW w:w="176" w:type="pct"/>
            <w:tcBorders>
              <w:top w:val="nil"/>
              <w:left w:val="single" w:sz="4" w:space="0" w:color="auto"/>
              <w:bottom w:val="single" w:sz="4" w:space="0" w:color="auto"/>
              <w:right w:val="single" w:sz="4" w:space="0" w:color="auto"/>
            </w:tcBorders>
            <w:shd w:val="clear" w:color="auto" w:fill="auto"/>
            <w:noWrap/>
            <w:vAlign w:val="center"/>
            <w:hideMark/>
          </w:tcPr>
          <w:p w14:paraId="70B39268"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7</w:t>
            </w:r>
          </w:p>
        </w:tc>
        <w:tc>
          <w:tcPr>
            <w:tcW w:w="3254" w:type="pct"/>
            <w:tcBorders>
              <w:top w:val="nil"/>
              <w:left w:val="nil"/>
              <w:bottom w:val="single" w:sz="4" w:space="0" w:color="auto"/>
              <w:right w:val="single" w:sz="4" w:space="0" w:color="auto"/>
            </w:tcBorders>
            <w:shd w:val="clear" w:color="auto" w:fill="auto"/>
            <w:vAlign w:val="center"/>
            <w:hideMark/>
          </w:tcPr>
          <w:p w14:paraId="34049B30" w14:textId="77777777" w:rsidR="009D6FD5" w:rsidRPr="00B91524" w:rsidRDefault="009D6FD5">
            <w:pPr>
              <w:spacing w:after="0"/>
              <w:rPr>
                <w:rFonts w:cs="Arial"/>
                <w:sz w:val="18"/>
                <w:szCs w:val="18"/>
                <w:lang w:eastAsia="en-GB"/>
              </w:rPr>
            </w:pPr>
            <w:r w:rsidRPr="00B91524">
              <w:rPr>
                <w:rFonts w:cs="Arial"/>
                <w:sz w:val="18"/>
                <w:szCs w:val="18"/>
                <w:lang w:eastAsia="en-GB"/>
              </w:rPr>
              <w:t xml:space="preserve">Mixed sediment mapped during 2011/2012 EIA survey and bedrock / stony reef and clay exposure mosaic recorded during 2019 Site </w:t>
            </w:r>
            <w:proofErr w:type="spellStart"/>
            <w:r w:rsidRPr="00B91524">
              <w:rPr>
                <w:rFonts w:cs="Arial"/>
                <w:sz w:val="18"/>
                <w:szCs w:val="18"/>
                <w:lang w:eastAsia="en-GB"/>
              </w:rPr>
              <w:t>Charaterisation</w:t>
            </w:r>
            <w:proofErr w:type="spellEnd"/>
            <w:r w:rsidRPr="00B91524">
              <w:rPr>
                <w:rFonts w:cs="Arial"/>
                <w:sz w:val="18"/>
                <w:szCs w:val="18"/>
                <w:lang w:eastAsia="en-GB"/>
              </w:rPr>
              <w:t xml:space="preserve"> survey.</w:t>
            </w:r>
          </w:p>
        </w:tc>
        <w:tc>
          <w:tcPr>
            <w:tcW w:w="191" w:type="pct"/>
            <w:tcBorders>
              <w:top w:val="nil"/>
              <w:left w:val="nil"/>
              <w:bottom w:val="single" w:sz="4" w:space="0" w:color="auto"/>
              <w:right w:val="single" w:sz="4" w:space="0" w:color="auto"/>
            </w:tcBorders>
            <w:shd w:val="clear" w:color="auto" w:fill="auto"/>
            <w:noWrap/>
            <w:vAlign w:val="center"/>
            <w:hideMark/>
          </w:tcPr>
          <w:p w14:paraId="2FC26092"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C</w:t>
            </w:r>
          </w:p>
        </w:tc>
        <w:tc>
          <w:tcPr>
            <w:tcW w:w="390" w:type="pct"/>
            <w:tcBorders>
              <w:top w:val="nil"/>
              <w:left w:val="nil"/>
              <w:bottom w:val="single" w:sz="4" w:space="0" w:color="auto"/>
              <w:right w:val="single" w:sz="4" w:space="0" w:color="auto"/>
            </w:tcBorders>
            <w:shd w:val="clear" w:color="auto" w:fill="auto"/>
            <w:noWrap/>
            <w:vAlign w:val="center"/>
            <w:hideMark/>
          </w:tcPr>
          <w:p w14:paraId="4EFF9C9A"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Start</w:t>
            </w:r>
          </w:p>
        </w:tc>
        <w:tc>
          <w:tcPr>
            <w:tcW w:w="372" w:type="pct"/>
            <w:tcBorders>
              <w:top w:val="nil"/>
              <w:left w:val="nil"/>
              <w:bottom w:val="single" w:sz="4" w:space="0" w:color="auto"/>
              <w:right w:val="single" w:sz="4" w:space="0" w:color="auto"/>
            </w:tcBorders>
            <w:shd w:val="clear" w:color="auto" w:fill="auto"/>
            <w:noWrap/>
            <w:vAlign w:val="center"/>
            <w:hideMark/>
          </w:tcPr>
          <w:p w14:paraId="3F279870"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244115.37</w:t>
            </w:r>
          </w:p>
        </w:tc>
        <w:tc>
          <w:tcPr>
            <w:tcW w:w="446" w:type="pct"/>
            <w:tcBorders>
              <w:top w:val="nil"/>
              <w:left w:val="nil"/>
              <w:bottom w:val="single" w:sz="4" w:space="0" w:color="auto"/>
              <w:right w:val="single" w:sz="4" w:space="0" w:color="auto"/>
            </w:tcBorders>
            <w:shd w:val="clear" w:color="auto" w:fill="auto"/>
            <w:noWrap/>
            <w:vAlign w:val="center"/>
            <w:hideMark/>
          </w:tcPr>
          <w:p w14:paraId="6D0FC804"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6058430.83</w:t>
            </w:r>
          </w:p>
        </w:tc>
        <w:tc>
          <w:tcPr>
            <w:tcW w:w="171" w:type="pct"/>
            <w:tcBorders>
              <w:top w:val="nil"/>
              <w:left w:val="nil"/>
              <w:bottom w:val="single" w:sz="4" w:space="0" w:color="auto"/>
              <w:right w:val="single" w:sz="4" w:space="0" w:color="auto"/>
            </w:tcBorders>
            <w:shd w:val="clear" w:color="auto" w:fill="auto"/>
            <w:noWrap/>
            <w:vAlign w:val="center"/>
            <w:hideMark/>
          </w:tcPr>
          <w:p w14:paraId="11793EA9"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4.8</w:t>
            </w:r>
          </w:p>
        </w:tc>
      </w:tr>
      <w:tr w:rsidR="009D6FD5" w:rsidRPr="00B91524" w14:paraId="134B30C4" w14:textId="77777777" w:rsidTr="00843131">
        <w:trPr>
          <w:trHeight w:val="219"/>
        </w:trPr>
        <w:tc>
          <w:tcPr>
            <w:tcW w:w="176" w:type="pct"/>
            <w:tcBorders>
              <w:top w:val="nil"/>
              <w:left w:val="single" w:sz="4" w:space="0" w:color="auto"/>
              <w:bottom w:val="single" w:sz="4" w:space="0" w:color="auto"/>
              <w:right w:val="single" w:sz="4" w:space="0" w:color="auto"/>
            </w:tcBorders>
            <w:shd w:val="clear" w:color="auto" w:fill="auto"/>
            <w:noWrap/>
            <w:vAlign w:val="center"/>
            <w:hideMark/>
          </w:tcPr>
          <w:p w14:paraId="1CDC7607"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7</w:t>
            </w:r>
          </w:p>
        </w:tc>
        <w:tc>
          <w:tcPr>
            <w:tcW w:w="3254" w:type="pct"/>
            <w:tcBorders>
              <w:top w:val="nil"/>
              <w:left w:val="nil"/>
              <w:bottom w:val="single" w:sz="4" w:space="0" w:color="auto"/>
              <w:right w:val="single" w:sz="4" w:space="0" w:color="auto"/>
            </w:tcBorders>
            <w:shd w:val="clear" w:color="auto" w:fill="auto"/>
            <w:vAlign w:val="center"/>
            <w:hideMark/>
          </w:tcPr>
          <w:p w14:paraId="50A8A5D0" w14:textId="77777777" w:rsidR="009D6FD5" w:rsidRPr="00B91524" w:rsidRDefault="009D6FD5">
            <w:pPr>
              <w:spacing w:after="0"/>
              <w:rPr>
                <w:rFonts w:cs="Arial"/>
                <w:sz w:val="18"/>
                <w:szCs w:val="18"/>
                <w:lang w:eastAsia="en-GB"/>
              </w:rPr>
            </w:pPr>
            <w:r w:rsidRPr="00B91524">
              <w:rPr>
                <w:rFonts w:cs="Arial"/>
                <w:sz w:val="18"/>
                <w:szCs w:val="18"/>
                <w:lang w:eastAsia="en-GB"/>
              </w:rPr>
              <w:t xml:space="preserve">Mixed sediment mapped during 2011/2012 EIA survey and bedrock / stony reef and clay exposure mosaic recorded during 2019 Site </w:t>
            </w:r>
            <w:proofErr w:type="spellStart"/>
            <w:r w:rsidRPr="00B91524">
              <w:rPr>
                <w:rFonts w:cs="Arial"/>
                <w:sz w:val="18"/>
                <w:szCs w:val="18"/>
                <w:lang w:eastAsia="en-GB"/>
              </w:rPr>
              <w:t>Charaterisation</w:t>
            </w:r>
            <w:proofErr w:type="spellEnd"/>
            <w:r w:rsidRPr="00B91524">
              <w:rPr>
                <w:rFonts w:cs="Arial"/>
                <w:sz w:val="18"/>
                <w:szCs w:val="18"/>
                <w:lang w:eastAsia="en-GB"/>
              </w:rPr>
              <w:t xml:space="preserve"> survey.</w:t>
            </w:r>
          </w:p>
        </w:tc>
        <w:tc>
          <w:tcPr>
            <w:tcW w:w="191" w:type="pct"/>
            <w:tcBorders>
              <w:top w:val="nil"/>
              <w:left w:val="nil"/>
              <w:bottom w:val="single" w:sz="4" w:space="0" w:color="auto"/>
              <w:right w:val="single" w:sz="4" w:space="0" w:color="auto"/>
            </w:tcBorders>
            <w:shd w:val="clear" w:color="auto" w:fill="auto"/>
            <w:noWrap/>
            <w:vAlign w:val="center"/>
            <w:hideMark/>
          </w:tcPr>
          <w:p w14:paraId="70EDEA09"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C</w:t>
            </w:r>
          </w:p>
        </w:tc>
        <w:tc>
          <w:tcPr>
            <w:tcW w:w="390" w:type="pct"/>
            <w:tcBorders>
              <w:top w:val="nil"/>
              <w:left w:val="nil"/>
              <w:bottom w:val="single" w:sz="4" w:space="0" w:color="auto"/>
              <w:right w:val="single" w:sz="4" w:space="0" w:color="auto"/>
            </w:tcBorders>
            <w:shd w:val="clear" w:color="auto" w:fill="auto"/>
            <w:noWrap/>
            <w:vAlign w:val="center"/>
            <w:hideMark/>
          </w:tcPr>
          <w:p w14:paraId="7238546D"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End</w:t>
            </w:r>
          </w:p>
        </w:tc>
        <w:tc>
          <w:tcPr>
            <w:tcW w:w="372" w:type="pct"/>
            <w:tcBorders>
              <w:top w:val="nil"/>
              <w:left w:val="nil"/>
              <w:bottom w:val="single" w:sz="4" w:space="0" w:color="auto"/>
              <w:right w:val="single" w:sz="4" w:space="0" w:color="auto"/>
            </w:tcBorders>
            <w:shd w:val="clear" w:color="auto" w:fill="auto"/>
            <w:noWrap/>
            <w:vAlign w:val="center"/>
            <w:hideMark/>
          </w:tcPr>
          <w:p w14:paraId="760BCEDC"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244115.37</w:t>
            </w:r>
          </w:p>
        </w:tc>
        <w:tc>
          <w:tcPr>
            <w:tcW w:w="446" w:type="pct"/>
            <w:tcBorders>
              <w:top w:val="nil"/>
              <w:left w:val="nil"/>
              <w:bottom w:val="single" w:sz="4" w:space="0" w:color="auto"/>
              <w:right w:val="single" w:sz="4" w:space="0" w:color="auto"/>
            </w:tcBorders>
            <w:shd w:val="clear" w:color="auto" w:fill="auto"/>
            <w:noWrap/>
            <w:vAlign w:val="center"/>
            <w:hideMark/>
          </w:tcPr>
          <w:p w14:paraId="3E0BB21A"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6058230.83</w:t>
            </w:r>
          </w:p>
        </w:tc>
        <w:tc>
          <w:tcPr>
            <w:tcW w:w="171" w:type="pct"/>
            <w:tcBorders>
              <w:top w:val="nil"/>
              <w:left w:val="nil"/>
              <w:bottom w:val="single" w:sz="4" w:space="0" w:color="auto"/>
              <w:right w:val="single" w:sz="4" w:space="0" w:color="auto"/>
            </w:tcBorders>
            <w:shd w:val="clear" w:color="auto" w:fill="auto"/>
            <w:noWrap/>
            <w:vAlign w:val="center"/>
            <w:hideMark/>
          </w:tcPr>
          <w:p w14:paraId="61BC63BD"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4.8</w:t>
            </w:r>
          </w:p>
        </w:tc>
      </w:tr>
      <w:tr w:rsidR="009D6FD5" w:rsidRPr="00B91524" w14:paraId="25FAFA24" w14:textId="77777777" w:rsidTr="00843131">
        <w:trPr>
          <w:trHeight w:val="219"/>
        </w:trPr>
        <w:tc>
          <w:tcPr>
            <w:tcW w:w="176" w:type="pct"/>
            <w:tcBorders>
              <w:top w:val="nil"/>
              <w:left w:val="single" w:sz="4" w:space="0" w:color="auto"/>
              <w:bottom w:val="single" w:sz="4" w:space="0" w:color="auto"/>
              <w:right w:val="single" w:sz="4" w:space="0" w:color="auto"/>
            </w:tcBorders>
            <w:shd w:val="clear" w:color="auto" w:fill="auto"/>
            <w:noWrap/>
            <w:vAlign w:val="center"/>
            <w:hideMark/>
          </w:tcPr>
          <w:p w14:paraId="469A8048"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8</w:t>
            </w:r>
          </w:p>
        </w:tc>
        <w:tc>
          <w:tcPr>
            <w:tcW w:w="3254" w:type="pct"/>
            <w:tcBorders>
              <w:top w:val="nil"/>
              <w:left w:val="nil"/>
              <w:bottom w:val="single" w:sz="4" w:space="0" w:color="auto"/>
              <w:right w:val="single" w:sz="4" w:space="0" w:color="auto"/>
            </w:tcBorders>
            <w:shd w:val="clear" w:color="auto" w:fill="auto"/>
            <w:vAlign w:val="center"/>
            <w:hideMark/>
          </w:tcPr>
          <w:p w14:paraId="30382306" w14:textId="77777777" w:rsidR="009D6FD5" w:rsidRPr="00B91524" w:rsidRDefault="009D6FD5">
            <w:pPr>
              <w:spacing w:after="0"/>
              <w:rPr>
                <w:rFonts w:cs="Arial"/>
                <w:sz w:val="18"/>
                <w:szCs w:val="18"/>
                <w:lang w:eastAsia="en-GB"/>
              </w:rPr>
            </w:pPr>
            <w:r w:rsidRPr="00B91524">
              <w:rPr>
                <w:rFonts w:cs="Arial"/>
                <w:sz w:val="18"/>
                <w:szCs w:val="18"/>
                <w:lang w:eastAsia="en-GB"/>
              </w:rPr>
              <w:t xml:space="preserve">Mixed sediment mapped during 2011/2012 EIA survey and bedrock / stony reef recorded during 2019 Site </w:t>
            </w:r>
            <w:proofErr w:type="spellStart"/>
            <w:r w:rsidRPr="00B91524">
              <w:rPr>
                <w:rFonts w:cs="Arial"/>
                <w:sz w:val="18"/>
                <w:szCs w:val="18"/>
                <w:lang w:eastAsia="en-GB"/>
              </w:rPr>
              <w:t>Charaterisation</w:t>
            </w:r>
            <w:proofErr w:type="spellEnd"/>
            <w:r w:rsidRPr="00B91524">
              <w:rPr>
                <w:rFonts w:cs="Arial"/>
                <w:sz w:val="18"/>
                <w:szCs w:val="18"/>
                <w:lang w:eastAsia="en-GB"/>
              </w:rPr>
              <w:t xml:space="preserve"> survey.</w:t>
            </w:r>
          </w:p>
        </w:tc>
        <w:tc>
          <w:tcPr>
            <w:tcW w:w="191" w:type="pct"/>
            <w:tcBorders>
              <w:top w:val="nil"/>
              <w:left w:val="nil"/>
              <w:bottom w:val="single" w:sz="4" w:space="0" w:color="auto"/>
              <w:right w:val="single" w:sz="4" w:space="0" w:color="auto"/>
            </w:tcBorders>
            <w:shd w:val="clear" w:color="auto" w:fill="auto"/>
            <w:noWrap/>
            <w:vAlign w:val="center"/>
            <w:hideMark/>
          </w:tcPr>
          <w:p w14:paraId="74A460FD"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D</w:t>
            </w:r>
          </w:p>
        </w:tc>
        <w:tc>
          <w:tcPr>
            <w:tcW w:w="390" w:type="pct"/>
            <w:tcBorders>
              <w:top w:val="nil"/>
              <w:left w:val="nil"/>
              <w:bottom w:val="single" w:sz="4" w:space="0" w:color="auto"/>
              <w:right w:val="single" w:sz="4" w:space="0" w:color="auto"/>
            </w:tcBorders>
            <w:shd w:val="clear" w:color="auto" w:fill="auto"/>
            <w:noWrap/>
            <w:vAlign w:val="center"/>
            <w:hideMark/>
          </w:tcPr>
          <w:p w14:paraId="6129B282"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Start</w:t>
            </w:r>
          </w:p>
        </w:tc>
        <w:tc>
          <w:tcPr>
            <w:tcW w:w="372" w:type="pct"/>
            <w:tcBorders>
              <w:top w:val="nil"/>
              <w:left w:val="nil"/>
              <w:bottom w:val="single" w:sz="4" w:space="0" w:color="auto"/>
              <w:right w:val="single" w:sz="4" w:space="0" w:color="auto"/>
            </w:tcBorders>
            <w:shd w:val="clear" w:color="auto" w:fill="auto"/>
            <w:noWrap/>
            <w:vAlign w:val="center"/>
            <w:hideMark/>
          </w:tcPr>
          <w:p w14:paraId="17B214F3"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245257.73</w:t>
            </w:r>
          </w:p>
        </w:tc>
        <w:tc>
          <w:tcPr>
            <w:tcW w:w="446" w:type="pct"/>
            <w:tcBorders>
              <w:top w:val="nil"/>
              <w:left w:val="nil"/>
              <w:bottom w:val="single" w:sz="4" w:space="0" w:color="auto"/>
              <w:right w:val="single" w:sz="4" w:space="0" w:color="auto"/>
            </w:tcBorders>
            <w:shd w:val="clear" w:color="auto" w:fill="auto"/>
            <w:noWrap/>
            <w:vAlign w:val="center"/>
            <w:hideMark/>
          </w:tcPr>
          <w:p w14:paraId="25DA5B16"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6058379.62</w:t>
            </w:r>
          </w:p>
        </w:tc>
        <w:tc>
          <w:tcPr>
            <w:tcW w:w="171" w:type="pct"/>
            <w:tcBorders>
              <w:top w:val="nil"/>
              <w:left w:val="nil"/>
              <w:bottom w:val="single" w:sz="4" w:space="0" w:color="auto"/>
              <w:right w:val="single" w:sz="4" w:space="0" w:color="auto"/>
            </w:tcBorders>
            <w:shd w:val="clear" w:color="auto" w:fill="auto"/>
            <w:noWrap/>
            <w:vAlign w:val="center"/>
            <w:hideMark/>
          </w:tcPr>
          <w:p w14:paraId="44E5264C"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w:t>
            </w:r>
          </w:p>
        </w:tc>
      </w:tr>
      <w:tr w:rsidR="009D6FD5" w:rsidRPr="00B91524" w14:paraId="0EBDA474" w14:textId="77777777" w:rsidTr="00843131">
        <w:trPr>
          <w:trHeight w:val="219"/>
        </w:trPr>
        <w:tc>
          <w:tcPr>
            <w:tcW w:w="176" w:type="pct"/>
            <w:tcBorders>
              <w:top w:val="nil"/>
              <w:left w:val="single" w:sz="4" w:space="0" w:color="auto"/>
              <w:bottom w:val="single" w:sz="4" w:space="0" w:color="auto"/>
              <w:right w:val="single" w:sz="4" w:space="0" w:color="auto"/>
            </w:tcBorders>
            <w:shd w:val="clear" w:color="auto" w:fill="auto"/>
            <w:noWrap/>
            <w:vAlign w:val="center"/>
            <w:hideMark/>
          </w:tcPr>
          <w:p w14:paraId="285B0A53"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8</w:t>
            </w:r>
          </w:p>
        </w:tc>
        <w:tc>
          <w:tcPr>
            <w:tcW w:w="3254" w:type="pct"/>
            <w:tcBorders>
              <w:top w:val="nil"/>
              <w:left w:val="nil"/>
              <w:bottom w:val="single" w:sz="4" w:space="0" w:color="auto"/>
              <w:right w:val="single" w:sz="4" w:space="0" w:color="auto"/>
            </w:tcBorders>
            <w:shd w:val="clear" w:color="auto" w:fill="auto"/>
            <w:vAlign w:val="center"/>
            <w:hideMark/>
          </w:tcPr>
          <w:p w14:paraId="47A7E46C" w14:textId="77777777" w:rsidR="009D6FD5" w:rsidRPr="00B91524" w:rsidRDefault="009D6FD5">
            <w:pPr>
              <w:spacing w:after="0"/>
              <w:rPr>
                <w:rFonts w:cs="Arial"/>
                <w:sz w:val="18"/>
                <w:szCs w:val="18"/>
                <w:lang w:eastAsia="en-GB"/>
              </w:rPr>
            </w:pPr>
            <w:r w:rsidRPr="00B91524">
              <w:rPr>
                <w:rFonts w:cs="Arial"/>
                <w:sz w:val="18"/>
                <w:szCs w:val="18"/>
                <w:lang w:eastAsia="en-GB"/>
              </w:rPr>
              <w:t xml:space="preserve">Mixed sediment mapped during 2011/2012 EIA survey and bedrock / stony reef recorded during 2019 Site </w:t>
            </w:r>
            <w:proofErr w:type="spellStart"/>
            <w:r w:rsidRPr="00B91524">
              <w:rPr>
                <w:rFonts w:cs="Arial"/>
                <w:sz w:val="18"/>
                <w:szCs w:val="18"/>
                <w:lang w:eastAsia="en-GB"/>
              </w:rPr>
              <w:t>Charaterisation</w:t>
            </w:r>
            <w:proofErr w:type="spellEnd"/>
            <w:r w:rsidRPr="00B91524">
              <w:rPr>
                <w:rFonts w:cs="Arial"/>
                <w:sz w:val="18"/>
                <w:szCs w:val="18"/>
                <w:lang w:eastAsia="en-GB"/>
              </w:rPr>
              <w:t xml:space="preserve"> survey.</w:t>
            </w:r>
          </w:p>
        </w:tc>
        <w:tc>
          <w:tcPr>
            <w:tcW w:w="191" w:type="pct"/>
            <w:tcBorders>
              <w:top w:val="nil"/>
              <w:left w:val="nil"/>
              <w:bottom w:val="single" w:sz="4" w:space="0" w:color="auto"/>
              <w:right w:val="single" w:sz="4" w:space="0" w:color="auto"/>
            </w:tcBorders>
            <w:shd w:val="clear" w:color="auto" w:fill="auto"/>
            <w:noWrap/>
            <w:vAlign w:val="center"/>
            <w:hideMark/>
          </w:tcPr>
          <w:p w14:paraId="0EF2EE03"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D</w:t>
            </w:r>
          </w:p>
        </w:tc>
        <w:tc>
          <w:tcPr>
            <w:tcW w:w="390" w:type="pct"/>
            <w:tcBorders>
              <w:top w:val="nil"/>
              <w:left w:val="nil"/>
              <w:bottom w:val="single" w:sz="4" w:space="0" w:color="auto"/>
              <w:right w:val="single" w:sz="4" w:space="0" w:color="auto"/>
            </w:tcBorders>
            <w:shd w:val="clear" w:color="auto" w:fill="auto"/>
            <w:noWrap/>
            <w:vAlign w:val="center"/>
            <w:hideMark/>
          </w:tcPr>
          <w:p w14:paraId="18A19659"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End</w:t>
            </w:r>
          </w:p>
        </w:tc>
        <w:tc>
          <w:tcPr>
            <w:tcW w:w="372" w:type="pct"/>
            <w:tcBorders>
              <w:top w:val="nil"/>
              <w:left w:val="nil"/>
              <w:bottom w:val="single" w:sz="4" w:space="0" w:color="auto"/>
              <w:right w:val="single" w:sz="4" w:space="0" w:color="auto"/>
            </w:tcBorders>
            <w:shd w:val="clear" w:color="auto" w:fill="auto"/>
            <w:noWrap/>
            <w:vAlign w:val="center"/>
            <w:hideMark/>
          </w:tcPr>
          <w:p w14:paraId="0A11A316"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245559.11</w:t>
            </w:r>
          </w:p>
        </w:tc>
        <w:tc>
          <w:tcPr>
            <w:tcW w:w="446" w:type="pct"/>
            <w:tcBorders>
              <w:top w:val="nil"/>
              <w:left w:val="nil"/>
              <w:bottom w:val="single" w:sz="4" w:space="0" w:color="auto"/>
              <w:right w:val="single" w:sz="4" w:space="0" w:color="auto"/>
            </w:tcBorders>
            <w:shd w:val="clear" w:color="auto" w:fill="auto"/>
            <w:noWrap/>
            <w:vAlign w:val="center"/>
            <w:hideMark/>
          </w:tcPr>
          <w:p w14:paraId="61AA32CB"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6058379.45</w:t>
            </w:r>
          </w:p>
        </w:tc>
        <w:tc>
          <w:tcPr>
            <w:tcW w:w="171" w:type="pct"/>
            <w:tcBorders>
              <w:top w:val="nil"/>
              <w:left w:val="nil"/>
              <w:bottom w:val="single" w:sz="4" w:space="0" w:color="auto"/>
              <w:right w:val="single" w:sz="4" w:space="0" w:color="auto"/>
            </w:tcBorders>
            <w:shd w:val="clear" w:color="auto" w:fill="auto"/>
            <w:noWrap/>
            <w:vAlign w:val="center"/>
            <w:hideMark/>
          </w:tcPr>
          <w:p w14:paraId="596B919A"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w:t>
            </w:r>
          </w:p>
        </w:tc>
      </w:tr>
      <w:tr w:rsidR="009D6FD5" w:rsidRPr="00B91524" w14:paraId="1B994080" w14:textId="77777777" w:rsidTr="00843131">
        <w:trPr>
          <w:trHeight w:val="219"/>
        </w:trPr>
        <w:tc>
          <w:tcPr>
            <w:tcW w:w="176" w:type="pct"/>
            <w:tcBorders>
              <w:top w:val="nil"/>
              <w:left w:val="single" w:sz="4" w:space="0" w:color="auto"/>
              <w:bottom w:val="single" w:sz="4" w:space="0" w:color="auto"/>
              <w:right w:val="single" w:sz="4" w:space="0" w:color="auto"/>
            </w:tcBorders>
            <w:shd w:val="clear" w:color="auto" w:fill="auto"/>
            <w:noWrap/>
            <w:vAlign w:val="center"/>
            <w:hideMark/>
          </w:tcPr>
          <w:p w14:paraId="1C5AB203"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9</w:t>
            </w:r>
          </w:p>
        </w:tc>
        <w:tc>
          <w:tcPr>
            <w:tcW w:w="3254" w:type="pct"/>
            <w:tcBorders>
              <w:top w:val="nil"/>
              <w:left w:val="nil"/>
              <w:bottom w:val="single" w:sz="4" w:space="0" w:color="auto"/>
              <w:right w:val="single" w:sz="4" w:space="0" w:color="auto"/>
            </w:tcBorders>
            <w:shd w:val="clear" w:color="auto" w:fill="auto"/>
            <w:vAlign w:val="center"/>
            <w:hideMark/>
          </w:tcPr>
          <w:p w14:paraId="5E6BD596" w14:textId="77777777" w:rsidR="009D6FD5" w:rsidRPr="00B91524" w:rsidRDefault="009D6FD5">
            <w:pPr>
              <w:spacing w:after="0"/>
              <w:rPr>
                <w:rFonts w:cs="Arial"/>
                <w:sz w:val="18"/>
                <w:szCs w:val="18"/>
                <w:lang w:eastAsia="en-GB"/>
              </w:rPr>
            </w:pPr>
            <w:r w:rsidRPr="00B91524">
              <w:rPr>
                <w:rFonts w:cs="Arial"/>
                <w:sz w:val="18"/>
                <w:szCs w:val="18"/>
                <w:lang w:eastAsia="en-GB"/>
              </w:rPr>
              <w:t xml:space="preserve">Mixed sediment mapped during 2011/2012 EIA survey and bedrock / stony reef recorded during 2019 Site </w:t>
            </w:r>
            <w:proofErr w:type="spellStart"/>
            <w:r w:rsidRPr="00B91524">
              <w:rPr>
                <w:rFonts w:cs="Arial"/>
                <w:sz w:val="18"/>
                <w:szCs w:val="18"/>
                <w:lang w:eastAsia="en-GB"/>
              </w:rPr>
              <w:t>Charaterisation</w:t>
            </w:r>
            <w:proofErr w:type="spellEnd"/>
            <w:r w:rsidRPr="00B91524">
              <w:rPr>
                <w:rFonts w:cs="Arial"/>
                <w:sz w:val="18"/>
                <w:szCs w:val="18"/>
                <w:lang w:eastAsia="en-GB"/>
              </w:rPr>
              <w:t xml:space="preserve"> survey.</w:t>
            </w:r>
          </w:p>
        </w:tc>
        <w:tc>
          <w:tcPr>
            <w:tcW w:w="191" w:type="pct"/>
            <w:tcBorders>
              <w:top w:val="nil"/>
              <w:left w:val="nil"/>
              <w:bottom w:val="single" w:sz="4" w:space="0" w:color="auto"/>
              <w:right w:val="single" w:sz="4" w:space="0" w:color="auto"/>
            </w:tcBorders>
            <w:shd w:val="clear" w:color="auto" w:fill="auto"/>
            <w:noWrap/>
            <w:vAlign w:val="center"/>
            <w:hideMark/>
          </w:tcPr>
          <w:p w14:paraId="69EDB3AE"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D</w:t>
            </w:r>
          </w:p>
        </w:tc>
        <w:tc>
          <w:tcPr>
            <w:tcW w:w="390" w:type="pct"/>
            <w:tcBorders>
              <w:top w:val="nil"/>
              <w:left w:val="nil"/>
              <w:bottom w:val="single" w:sz="4" w:space="0" w:color="auto"/>
              <w:right w:val="single" w:sz="4" w:space="0" w:color="auto"/>
            </w:tcBorders>
            <w:shd w:val="clear" w:color="auto" w:fill="auto"/>
            <w:noWrap/>
            <w:vAlign w:val="center"/>
            <w:hideMark/>
          </w:tcPr>
          <w:p w14:paraId="5F131265"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Start</w:t>
            </w:r>
          </w:p>
        </w:tc>
        <w:tc>
          <w:tcPr>
            <w:tcW w:w="372" w:type="pct"/>
            <w:tcBorders>
              <w:top w:val="nil"/>
              <w:left w:val="nil"/>
              <w:bottom w:val="single" w:sz="4" w:space="0" w:color="auto"/>
              <w:right w:val="single" w:sz="4" w:space="0" w:color="auto"/>
            </w:tcBorders>
            <w:shd w:val="clear" w:color="auto" w:fill="auto"/>
            <w:noWrap/>
            <w:vAlign w:val="center"/>
            <w:hideMark/>
          </w:tcPr>
          <w:p w14:paraId="79B59404"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245408.42</w:t>
            </w:r>
          </w:p>
        </w:tc>
        <w:tc>
          <w:tcPr>
            <w:tcW w:w="446" w:type="pct"/>
            <w:tcBorders>
              <w:top w:val="nil"/>
              <w:left w:val="nil"/>
              <w:bottom w:val="single" w:sz="4" w:space="0" w:color="auto"/>
              <w:right w:val="single" w:sz="4" w:space="0" w:color="auto"/>
            </w:tcBorders>
            <w:shd w:val="clear" w:color="auto" w:fill="auto"/>
            <w:noWrap/>
            <w:vAlign w:val="center"/>
            <w:hideMark/>
          </w:tcPr>
          <w:p w14:paraId="45FC49CD"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6058479.53</w:t>
            </w:r>
          </w:p>
        </w:tc>
        <w:tc>
          <w:tcPr>
            <w:tcW w:w="171" w:type="pct"/>
            <w:tcBorders>
              <w:top w:val="nil"/>
              <w:left w:val="nil"/>
              <w:bottom w:val="single" w:sz="4" w:space="0" w:color="auto"/>
              <w:right w:val="single" w:sz="4" w:space="0" w:color="auto"/>
            </w:tcBorders>
            <w:shd w:val="clear" w:color="auto" w:fill="auto"/>
            <w:noWrap/>
            <w:vAlign w:val="center"/>
            <w:hideMark/>
          </w:tcPr>
          <w:p w14:paraId="7AA80A1F"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w:t>
            </w:r>
          </w:p>
        </w:tc>
      </w:tr>
      <w:tr w:rsidR="009D6FD5" w:rsidRPr="00B91524" w14:paraId="1B7BFCEA" w14:textId="77777777" w:rsidTr="00843131">
        <w:trPr>
          <w:trHeight w:val="219"/>
        </w:trPr>
        <w:tc>
          <w:tcPr>
            <w:tcW w:w="176" w:type="pct"/>
            <w:tcBorders>
              <w:top w:val="nil"/>
              <w:left w:val="single" w:sz="4" w:space="0" w:color="auto"/>
              <w:bottom w:val="single" w:sz="4" w:space="0" w:color="auto"/>
              <w:right w:val="single" w:sz="4" w:space="0" w:color="auto"/>
            </w:tcBorders>
            <w:shd w:val="clear" w:color="auto" w:fill="auto"/>
            <w:noWrap/>
            <w:vAlign w:val="center"/>
            <w:hideMark/>
          </w:tcPr>
          <w:p w14:paraId="614C1E14"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9</w:t>
            </w:r>
          </w:p>
        </w:tc>
        <w:tc>
          <w:tcPr>
            <w:tcW w:w="3254" w:type="pct"/>
            <w:tcBorders>
              <w:top w:val="nil"/>
              <w:left w:val="nil"/>
              <w:bottom w:val="single" w:sz="4" w:space="0" w:color="auto"/>
              <w:right w:val="single" w:sz="4" w:space="0" w:color="auto"/>
            </w:tcBorders>
            <w:shd w:val="clear" w:color="auto" w:fill="auto"/>
            <w:vAlign w:val="center"/>
            <w:hideMark/>
          </w:tcPr>
          <w:p w14:paraId="402ACC38" w14:textId="77777777" w:rsidR="009D6FD5" w:rsidRPr="00B91524" w:rsidRDefault="009D6FD5">
            <w:pPr>
              <w:spacing w:after="0"/>
              <w:rPr>
                <w:rFonts w:cs="Arial"/>
                <w:sz w:val="18"/>
                <w:szCs w:val="18"/>
                <w:lang w:eastAsia="en-GB"/>
              </w:rPr>
            </w:pPr>
            <w:r w:rsidRPr="00B91524">
              <w:rPr>
                <w:rFonts w:cs="Arial"/>
                <w:sz w:val="18"/>
                <w:szCs w:val="18"/>
                <w:lang w:eastAsia="en-GB"/>
              </w:rPr>
              <w:t xml:space="preserve">Mixed sediment mapped during 2011/2012 EIA survey and bedrock / stony reef recorded during 2019 Site </w:t>
            </w:r>
            <w:proofErr w:type="spellStart"/>
            <w:r w:rsidRPr="00B91524">
              <w:rPr>
                <w:rFonts w:cs="Arial"/>
                <w:sz w:val="18"/>
                <w:szCs w:val="18"/>
                <w:lang w:eastAsia="en-GB"/>
              </w:rPr>
              <w:t>Charaterisation</w:t>
            </w:r>
            <w:proofErr w:type="spellEnd"/>
            <w:r w:rsidRPr="00B91524">
              <w:rPr>
                <w:rFonts w:cs="Arial"/>
                <w:sz w:val="18"/>
                <w:szCs w:val="18"/>
                <w:lang w:eastAsia="en-GB"/>
              </w:rPr>
              <w:t xml:space="preserve"> survey.</w:t>
            </w:r>
          </w:p>
        </w:tc>
        <w:tc>
          <w:tcPr>
            <w:tcW w:w="191" w:type="pct"/>
            <w:tcBorders>
              <w:top w:val="nil"/>
              <w:left w:val="nil"/>
              <w:bottom w:val="single" w:sz="4" w:space="0" w:color="auto"/>
              <w:right w:val="single" w:sz="4" w:space="0" w:color="auto"/>
            </w:tcBorders>
            <w:shd w:val="clear" w:color="auto" w:fill="auto"/>
            <w:noWrap/>
            <w:vAlign w:val="center"/>
            <w:hideMark/>
          </w:tcPr>
          <w:p w14:paraId="44E949D9"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D</w:t>
            </w:r>
          </w:p>
        </w:tc>
        <w:tc>
          <w:tcPr>
            <w:tcW w:w="390" w:type="pct"/>
            <w:tcBorders>
              <w:top w:val="nil"/>
              <w:left w:val="nil"/>
              <w:bottom w:val="single" w:sz="4" w:space="0" w:color="auto"/>
              <w:right w:val="single" w:sz="4" w:space="0" w:color="auto"/>
            </w:tcBorders>
            <w:shd w:val="clear" w:color="auto" w:fill="auto"/>
            <w:noWrap/>
            <w:vAlign w:val="center"/>
            <w:hideMark/>
          </w:tcPr>
          <w:p w14:paraId="44C2EAF0"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End</w:t>
            </w:r>
          </w:p>
        </w:tc>
        <w:tc>
          <w:tcPr>
            <w:tcW w:w="372" w:type="pct"/>
            <w:tcBorders>
              <w:top w:val="nil"/>
              <w:left w:val="nil"/>
              <w:bottom w:val="single" w:sz="4" w:space="0" w:color="auto"/>
              <w:right w:val="single" w:sz="4" w:space="0" w:color="auto"/>
            </w:tcBorders>
            <w:shd w:val="clear" w:color="auto" w:fill="auto"/>
            <w:noWrap/>
            <w:vAlign w:val="center"/>
            <w:hideMark/>
          </w:tcPr>
          <w:p w14:paraId="04BBE29E"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245408.42</w:t>
            </w:r>
          </w:p>
        </w:tc>
        <w:tc>
          <w:tcPr>
            <w:tcW w:w="446" w:type="pct"/>
            <w:tcBorders>
              <w:top w:val="nil"/>
              <w:left w:val="nil"/>
              <w:bottom w:val="single" w:sz="4" w:space="0" w:color="auto"/>
              <w:right w:val="single" w:sz="4" w:space="0" w:color="auto"/>
            </w:tcBorders>
            <w:shd w:val="clear" w:color="auto" w:fill="auto"/>
            <w:noWrap/>
            <w:vAlign w:val="center"/>
            <w:hideMark/>
          </w:tcPr>
          <w:p w14:paraId="36F16A51"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6058279.53</w:t>
            </w:r>
          </w:p>
        </w:tc>
        <w:tc>
          <w:tcPr>
            <w:tcW w:w="171" w:type="pct"/>
            <w:tcBorders>
              <w:top w:val="nil"/>
              <w:left w:val="nil"/>
              <w:bottom w:val="single" w:sz="4" w:space="0" w:color="auto"/>
              <w:right w:val="single" w:sz="4" w:space="0" w:color="auto"/>
            </w:tcBorders>
            <w:shd w:val="clear" w:color="auto" w:fill="auto"/>
            <w:noWrap/>
            <w:vAlign w:val="center"/>
            <w:hideMark/>
          </w:tcPr>
          <w:p w14:paraId="668871A0"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w:t>
            </w:r>
          </w:p>
        </w:tc>
      </w:tr>
      <w:tr w:rsidR="009D6FD5" w:rsidRPr="00B91524" w14:paraId="7262A092" w14:textId="77777777" w:rsidTr="00843131">
        <w:trPr>
          <w:trHeight w:val="219"/>
        </w:trPr>
        <w:tc>
          <w:tcPr>
            <w:tcW w:w="176" w:type="pct"/>
            <w:tcBorders>
              <w:top w:val="nil"/>
              <w:left w:val="single" w:sz="4" w:space="0" w:color="auto"/>
              <w:bottom w:val="single" w:sz="4" w:space="0" w:color="auto"/>
              <w:right w:val="single" w:sz="4" w:space="0" w:color="auto"/>
            </w:tcBorders>
            <w:shd w:val="clear" w:color="auto" w:fill="auto"/>
            <w:noWrap/>
            <w:vAlign w:val="center"/>
            <w:hideMark/>
          </w:tcPr>
          <w:p w14:paraId="7EA26529"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10</w:t>
            </w:r>
          </w:p>
        </w:tc>
        <w:tc>
          <w:tcPr>
            <w:tcW w:w="3254" w:type="pct"/>
            <w:tcBorders>
              <w:top w:val="nil"/>
              <w:left w:val="nil"/>
              <w:bottom w:val="single" w:sz="4" w:space="0" w:color="auto"/>
              <w:right w:val="single" w:sz="4" w:space="0" w:color="auto"/>
            </w:tcBorders>
            <w:shd w:val="clear" w:color="auto" w:fill="auto"/>
            <w:vAlign w:val="center"/>
            <w:hideMark/>
          </w:tcPr>
          <w:p w14:paraId="370FD307" w14:textId="77777777" w:rsidR="009D6FD5" w:rsidRPr="00B91524" w:rsidRDefault="009D6FD5">
            <w:pPr>
              <w:spacing w:after="0"/>
              <w:rPr>
                <w:rFonts w:cs="Arial"/>
                <w:sz w:val="18"/>
                <w:szCs w:val="18"/>
                <w:lang w:eastAsia="en-GB"/>
              </w:rPr>
            </w:pPr>
            <w:r w:rsidRPr="00B91524">
              <w:rPr>
                <w:rFonts w:cs="Arial"/>
                <w:sz w:val="18"/>
                <w:szCs w:val="18"/>
                <w:lang w:eastAsia="en-GB"/>
              </w:rPr>
              <w:t xml:space="preserve">Mixed sediment mapped during 2011/2012 EIA survey and bedrock / stony reef recorded during 2019 Site </w:t>
            </w:r>
            <w:proofErr w:type="spellStart"/>
            <w:r w:rsidRPr="00B91524">
              <w:rPr>
                <w:rFonts w:cs="Arial"/>
                <w:sz w:val="18"/>
                <w:szCs w:val="18"/>
                <w:lang w:eastAsia="en-GB"/>
              </w:rPr>
              <w:t>Charaterisation</w:t>
            </w:r>
            <w:proofErr w:type="spellEnd"/>
            <w:r w:rsidRPr="00B91524">
              <w:rPr>
                <w:rFonts w:cs="Arial"/>
                <w:sz w:val="18"/>
                <w:szCs w:val="18"/>
                <w:lang w:eastAsia="en-GB"/>
              </w:rPr>
              <w:t xml:space="preserve"> survey.</w:t>
            </w:r>
          </w:p>
        </w:tc>
        <w:tc>
          <w:tcPr>
            <w:tcW w:w="191" w:type="pct"/>
            <w:tcBorders>
              <w:top w:val="nil"/>
              <w:left w:val="nil"/>
              <w:bottom w:val="single" w:sz="4" w:space="0" w:color="auto"/>
              <w:right w:val="single" w:sz="4" w:space="0" w:color="auto"/>
            </w:tcBorders>
            <w:shd w:val="clear" w:color="auto" w:fill="auto"/>
            <w:noWrap/>
            <w:vAlign w:val="center"/>
            <w:hideMark/>
          </w:tcPr>
          <w:p w14:paraId="751F7434"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E</w:t>
            </w:r>
          </w:p>
        </w:tc>
        <w:tc>
          <w:tcPr>
            <w:tcW w:w="390" w:type="pct"/>
            <w:tcBorders>
              <w:top w:val="nil"/>
              <w:left w:val="nil"/>
              <w:bottom w:val="single" w:sz="4" w:space="0" w:color="auto"/>
              <w:right w:val="single" w:sz="4" w:space="0" w:color="auto"/>
            </w:tcBorders>
            <w:shd w:val="clear" w:color="auto" w:fill="auto"/>
            <w:noWrap/>
            <w:vAlign w:val="center"/>
            <w:hideMark/>
          </w:tcPr>
          <w:p w14:paraId="52B9E5BA"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Start</w:t>
            </w:r>
          </w:p>
        </w:tc>
        <w:tc>
          <w:tcPr>
            <w:tcW w:w="372" w:type="pct"/>
            <w:tcBorders>
              <w:top w:val="nil"/>
              <w:left w:val="nil"/>
              <w:bottom w:val="single" w:sz="4" w:space="0" w:color="auto"/>
              <w:right w:val="single" w:sz="4" w:space="0" w:color="auto"/>
            </w:tcBorders>
            <w:shd w:val="clear" w:color="auto" w:fill="auto"/>
            <w:noWrap/>
            <w:vAlign w:val="center"/>
            <w:hideMark/>
          </w:tcPr>
          <w:p w14:paraId="40AEEDB5"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246863.17</w:t>
            </w:r>
          </w:p>
        </w:tc>
        <w:tc>
          <w:tcPr>
            <w:tcW w:w="446" w:type="pct"/>
            <w:tcBorders>
              <w:top w:val="nil"/>
              <w:left w:val="nil"/>
              <w:bottom w:val="single" w:sz="4" w:space="0" w:color="auto"/>
              <w:right w:val="single" w:sz="4" w:space="0" w:color="auto"/>
            </w:tcBorders>
            <w:shd w:val="clear" w:color="auto" w:fill="auto"/>
            <w:noWrap/>
            <w:vAlign w:val="center"/>
            <w:hideMark/>
          </w:tcPr>
          <w:p w14:paraId="11E20A21"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6058377.60</w:t>
            </w:r>
          </w:p>
        </w:tc>
        <w:tc>
          <w:tcPr>
            <w:tcW w:w="171" w:type="pct"/>
            <w:tcBorders>
              <w:top w:val="nil"/>
              <w:left w:val="nil"/>
              <w:bottom w:val="single" w:sz="4" w:space="0" w:color="auto"/>
              <w:right w:val="single" w:sz="4" w:space="0" w:color="auto"/>
            </w:tcBorders>
            <w:shd w:val="clear" w:color="auto" w:fill="auto"/>
            <w:noWrap/>
            <w:vAlign w:val="center"/>
            <w:hideMark/>
          </w:tcPr>
          <w:p w14:paraId="27AB5182"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7.5</w:t>
            </w:r>
          </w:p>
        </w:tc>
      </w:tr>
      <w:tr w:rsidR="009D6FD5" w:rsidRPr="00B91524" w14:paraId="29ADA9A4" w14:textId="77777777" w:rsidTr="00843131">
        <w:trPr>
          <w:trHeight w:val="219"/>
        </w:trPr>
        <w:tc>
          <w:tcPr>
            <w:tcW w:w="176" w:type="pct"/>
            <w:tcBorders>
              <w:top w:val="nil"/>
              <w:left w:val="single" w:sz="4" w:space="0" w:color="auto"/>
              <w:bottom w:val="single" w:sz="4" w:space="0" w:color="auto"/>
              <w:right w:val="single" w:sz="4" w:space="0" w:color="auto"/>
            </w:tcBorders>
            <w:shd w:val="clear" w:color="auto" w:fill="auto"/>
            <w:noWrap/>
            <w:vAlign w:val="center"/>
            <w:hideMark/>
          </w:tcPr>
          <w:p w14:paraId="4CB6F1A8"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10</w:t>
            </w:r>
          </w:p>
        </w:tc>
        <w:tc>
          <w:tcPr>
            <w:tcW w:w="3254" w:type="pct"/>
            <w:tcBorders>
              <w:top w:val="nil"/>
              <w:left w:val="nil"/>
              <w:bottom w:val="single" w:sz="4" w:space="0" w:color="auto"/>
              <w:right w:val="single" w:sz="4" w:space="0" w:color="auto"/>
            </w:tcBorders>
            <w:shd w:val="clear" w:color="auto" w:fill="auto"/>
            <w:vAlign w:val="center"/>
            <w:hideMark/>
          </w:tcPr>
          <w:p w14:paraId="2161942C" w14:textId="77777777" w:rsidR="009D6FD5" w:rsidRPr="00B91524" w:rsidRDefault="009D6FD5">
            <w:pPr>
              <w:spacing w:after="0"/>
              <w:rPr>
                <w:rFonts w:cs="Arial"/>
                <w:sz w:val="18"/>
                <w:szCs w:val="18"/>
                <w:lang w:eastAsia="en-GB"/>
              </w:rPr>
            </w:pPr>
            <w:r w:rsidRPr="00B91524">
              <w:rPr>
                <w:rFonts w:cs="Arial"/>
                <w:sz w:val="18"/>
                <w:szCs w:val="18"/>
                <w:lang w:eastAsia="en-GB"/>
              </w:rPr>
              <w:t xml:space="preserve">Mixed sediment mapped during 2011/2012 EIA survey and bedrock / stony reef recorded during 2019 Site </w:t>
            </w:r>
            <w:proofErr w:type="spellStart"/>
            <w:r w:rsidRPr="00B91524">
              <w:rPr>
                <w:rFonts w:cs="Arial"/>
                <w:sz w:val="18"/>
                <w:szCs w:val="18"/>
                <w:lang w:eastAsia="en-GB"/>
              </w:rPr>
              <w:t>Charaterisation</w:t>
            </w:r>
            <w:proofErr w:type="spellEnd"/>
            <w:r w:rsidRPr="00B91524">
              <w:rPr>
                <w:rFonts w:cs="Arial"/>
                <w:sz w:val="18"/>
                <w:szCs w:val="18"/>
                <w:lang w:eastAsia="en-GB"/>
              </w:rPr>
              <w:t xml:space="preserve"> survey.</w:t>
            </w:r>
          </w:p>
        </w:tc>
        <w:tc>
          <w:tcPr>
            <w:tcW w:w="191" w:type="pct"/>
            <w:tcBorders>
              <w:top w:val="nil"/>
              <w:left w:val="nil"/>
              <w:bottom w:val="single" w:sz="4" w:space="0" w:color="auto"/>
              <w:right w:val="single" w:sz="4" w:space="0" w:color="auto"/>
            </w:tcBorders>
            <w:shd w:val="clear" w:color="auto" w:fill="auto"/>
            <w:noWrap/>
            <w:vAlign w:val="center"/>
            <w:hideMark/>
          </w:tcPr>
          <w:p w14:paraId="377E232B"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E</w:t>
            </w:r>
          </w:p>
        </w:tc>
        <w:tc>
          <w:tcPr>
            <w:tcW w:w="390" w:type="pct"/>
            <w:tcBorders>
              <w:top w:val="nil"/>
              <w:left w:val="nil"/>
              <w:bottom w:val="single" w:sz="4" w:space="0" w:color="auto"/>
              <w:right w:val="single" w:sz="4" w:space="0" w:color="auto"/>
            </w:tcBorders>
            <w:shd w:val="clear" w:color="auto" w:fill="auto"/>
            <w:noWrap/>
            <w:vAlign w:val="center"/>
            <w:hideMark/>
          </w:tcPr>
          <w:p w14:paraId="7D17F186"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End</w:t>
            </w:r>
          </w:p>
        </w:tc>
        <w:tc>
          <w:tcPr>
            <w:tcW w:w="372" w:type="pct"/>
            <w:tcBorders>
              <w:top w:val="nil"/>
              <w:left w:val="nil"/>
              <w:bottom w:val="single" w:sz="4" w:space="0" w:color="auto"/>
              <w:right w:val="single" w:sz="4" w:space="0" w:color="auto"/>
            </w:tcBorders>
            <w:shd w:val="clear" w:color="auto" w:fill="auto"/>
            <w:noWrap/>
            <w:vAlign w:val="center"/>
            <w:hideMark/>
          </w:tcPr>
          <w:p w14:paraId="1A9997C5"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247063.17</w:t>
            </w:r>
          </w:p>
        </w:tc>
        <w:tc>
          <w:tcPr>
            <w:tcW w:w="446" w:type="pct"/>
            <w:tcBorders>
              <w:top w:val="nil"/>
              <w:left w:val="nil"/>
              <w:bottom w:val="single" w:sz="4" w:space="0" w:color="auto"/>
              <w:right w:val="single" w:sz="4" w:space="0" w:color="auto"/>
            </w:tcBorders>
            <w:shd w:val="clear" w:color="auto" w:fill="auto"/>
            <w:noWrap/>
            <w:vAlign w:val="center"/>
            <w:hideMark/>
          </w:tcPr>
          <w:p w14:paraId="11601E3C"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6058377.48</w:t>
            </w:r>
          </w:p>
        </w:tc>
        <w:tc>
          <w:tcPr>
            <w:tcW w:w="171" w:type="pct"/>
            <w:tcBorders>
              <w:top w:val="nil"/>
              <w:left w:val="nil"/>
              <w:bottom w:val="single" w:sz="4" w:space="0" w:color="auto"/>
              <w:right w:val="single" w:sz="4" w:space="0" w:color="auto"/>
            </w:tcBorders>
            <w:shd w:val="clear" w:color="auto" w:fill="auto"/>
            <w:noWrap/>
            <w:vAlign w:val="center"/>
            <w:hideMark/>
          </w:tcPr>
          <w:p w14:paraId="2F74AA15"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7.5</w:t>
            </w:r>
          </w:p>
        </w:tc>
      </w:tr>
      <w:tr w:rsidR="009D6FD5" w:rsidRPr="00B91524" w14:paraId="46E13D2F" w14:textId="77777777" w:rsidTr="00843131">
        <w:trPr>
          <w:trHeight w:val="219"/>
        </w:trPr>
        <w:tc>
          <w:tcPr>
            <w:tcW w:w="176" w:type="pct"/>
            <w:tcBorders>
              <w:top w:val="nil"/>
              <w:left w:val="single" w:sz="4" w:space="0" w:color="auto"/>
              <w:bottom w:val="single" w:sz="4" w:space="0" w:color="auto"/>
              <w:right w:val="single" w:sz="4" w:space="0" w:color="auto"/>
            </w:tcBorders>
            <w:shd w:val="clear" w:color="auto" w:fill="auto"/>
            <w:noWrap/>
            <w:vAlign w:val="center"/>
            <w:hideMark/>
          </w:tcPr>
          <w:p w14:paraId="0651D365"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11</w:t>
            </w:r>
          </w:p>
        </w:tc>
        <w:tc>
          <w:tcPr>
            <w:tcW w:w="3254" w:type="pct"/>
            <w:tcBorders>
              <w:top w:val="nil"/>
              <w:left w:val="nil"/>
              <w:bottom w:val="single" w:sz="4" w:space="0" w:color="auto"/>
              <w:right w:val="single" w:sz="4" w:space="0" w:color="auto"/>
            </w:tcBorders>
            <w:shd w:val="clear" w:color="auto" w:fill="auto"/>
            <w:vAlign w:val="center"/>
            <w:hideMark/>
          </w:tcPr>
          <w:p w14:paraId="0C2782DD" w14:textId="77777777" w:rsidR="009D6FD5" w:rsidRPr="00B91524" w:rsidRDefault="009D6FD5">
            <w:pPr>
              <w:spacing w:after="0"/>
              <w:rPr>
                <w:rFonts w:cs="Arial"/>
                <w:sz w:val="18"/>
                <w:szCs w:val="18"/>
                <w:lang w:eastAsia="en-GB"/>
              </w:rPr>
            </w:pPr>
            <w:r w:rsidRPr="00B91524">
              <w:rPr>
                <w:rFonts w:cs="Arial"/>
                <w:sz w:val="18"/>
                <w:szCs w:val="18"/>
                <w:lang w:eastAsia="en-GB"/>
              </w:rPr>
              <w:t xml:space="preserve">Mixed sediment mapped during 2011/2012 EIA survey and bedrock / stony reef recorded during 2019 Site </w:t>
            </w:r>
            <w:proofErr w:type="spellStart"/>
            <w:r w:rsidRPr="00B91524">
              <w:rPr>
                <w:rFonts w:cs="Arial"/>
                <w:sz w:val="18"/>
                <w:szCs w:val="18"/>
                <w:lang w:eastAsia="en-GB"/>
              </w:rPr>
              <w:t>Charaterisation</w:t>
            </w:r>
            <w:proofErr w:type="spellEnd"/>
            <w:r w:rsidRPr="00B91524">
              <w:rPr>
                <w:rFonts w:cs="Arial"/>
                <w:sz w:val="18"/>
                <w:szCs w:val="18"/>
                <w:lang w:eastAsia="en-GB"/>
              </w:rPr>
              <w:t xml:space="preserve"> survey.</w:t>
            </w:r>
          </w:p>
        </w:tc>
        <w:tc>
          <w:tcPr>
            <w:tcW w:w="191" w:type="pct"/>
            <w:tcBorders>
              <w:top w:val="nil"/>
              <w:left w:val="nil"/>
              <w:bottom w:val="single" w:sz="4" w:space="0" w:color="auto"/>
              <w:right w:val="single" w:sz="4" w:space="0" w:color="auto"/>
            </w:tcBorders>
            <w:shd w:val="clear" w:color="auto" w:fill="auto"/>
            <w:noWrap/>
            <w:vAlign w:val="center"/>
            <w:hideMark/>
          </w:tcPr>
          <w:p w14:paraId="62D42276"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E</w:t>
            </w:r>
          </w:p>
        </w:tc>
        <w:tc>
          <w:tcPr>
            <w:tcW w:w="390" w:type="pct"/>
            <w:tcBorders>
              <w:top w:val="nil"/>
              <w:left w:val="nil"/>
              <w:bottom w:val="single" w:sz="4" w:space="0" w:color="auto"/>
              <w:right w:val="single" w:sz="4" w:space="0" w:color="auto"/>
            </w:tcBorders>
            <w:shd w:val="clear" w:color="auto" w:fill="auto"/>
            <w:noWrap/>
            <w:vAlign w:val="center"/>
            <w:hideMark/>
          </w:tcPr>
          <w:p w14:paraId="7F3B0253"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Start</w:t>
            </w:r>
          </w:p>
        </w:tc>
        <w:tc>
          <w:tcPr>
            <w:tcW w:w="372" w:type="pct"/>
            <w:tcBorders>
              <w:top w:val="nil"/>
              <w:left w:val="nil"/>
              <w:bottom w:val="single" w:sz="4" w:space="0" w:color="auto"/>
              <w:right w:val="single" w:sz="4" w:space="0" w:color="auto"/>
            </w:tcBorders>
            <w:shd w:val="clear" w:color="auto" w:fill="auto"/>
            <w:noWrap/>
            <w:vAlign w:val="center"/>
            <w:hideMark/>
          </w:tcPr>
          <w:p w14:paraId="15D514DA"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246963.17</w:t>
            </w:r>
          </w:p>
        </w:tc>
        <w:tc>
          <w:tcPr>
            <w:tcW w:w="446" w:type="pct"/>
            <w:tcBorders>
              <w:top w:val="nil"/>
              <w:left w:val="nil"/>
              <w:bottom w:val="single" w:sz="4" w:space="0" w:color="auto"/>
              <w:right w:val="single" w:sz="4" w:space="0" w:color="auto"/>
            </w:tcBorders>
            <w:shd w:val="clear" w:color="auto" w:fill="auto"/>
            <w:noWrap/>
            <w:vAlign w:val="center"/>
            <w:hideMark/>
          </w:tcPr>
          <w:p w14:paraId="2A8DBBD9"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6058477.54</w:t>
            </w:r>
          </w:p>
        </w:tc>
        <w:tc>
          <w:tcPr>
            <w:tcW w:w="171" w:type="pct"/>
            <w:tcBorders>
              <w:top w:val="nil"/>
              <w:left w:val="nil"/>
              <w:bottom w:val="single" w:sz="4" w:space="0" w:color="auto"/>
              <w:right w:val="single" w:sz="4" w:space="0" w:color="auto"/>
            </w:tcBorders>
            <w:shd w:val="clear" w:color="auto" w:fill="auto"/>
            <w:noWrap/>
            <w:vAlign w:val="center"/>
            <w:hideMark/>
          </w:tcPr>
          <w:p w14:paraId="1A6C46B5"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7.5</w:t>
            </w:r>
          </w:p>
        </w:tc>
      </w:tr>
      <w:tr w:rsidR="009D6FD5" w:rsidRPr="00B91524" w14:paraId="3FABF951" w14:textId="77777777" w:rsidTr="00843131">
        <w:trPr>
          <w:trHeight w:val="219"/>
        </w:trPr>
        <w:tc>
          <w:tcPr>
            <w:tcW w:w="176" w:type="pct"/>
            <w:tcBorders>
              <w:top w:val="nil"/>
              <w:left w:val="single" w:sz="4" w:space="0" w:color="auto"/>
              <w:bottom w:val="single" w:sz="4" w:space="0" w:color="auto"/>
              <w:right w:val="single" w:sz="4" w:space="0" w:color="auto"/>
            </w:tcBorders>
            <w:shd w:val="clear" w:color="auto" w:fill="auto"/>
            <w:noWrap/>
            <w:vAlign w:val="center"/>
            <w:hideMark/>
          </w:tcPr>
          <w:p w14:paraId="49F50D17"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11</w:t>
            </w:r>
          </w:p>
        </w:tc>
        <w:tc>
          <w:tcPr>
            <w:tcW w:w="3254" w:type="pct"/>
            <w:tcBorders>
              <w:top w:val="nil"/>
              <w:left w:val="nil"/>
              <w:bottom w:val="single" w:sz="4" w:space="0" w:color="auto"/>
              <w:right w:val="single" w:sz="4" w:space="0" w:color="auto"/>
            </w:tcBorders>
            <w:shd w:val="clear" w:color="auto" w:fill="auto"/>
            <w:vAlign w:val="center"/>
            <w:hideMark/>
          </w:tcPr>
          <w:p w14:paraId="5903FD1A" w14:textId="77777777" w:rsidR="009D6FD5" w:rsidRPr="00B91524" w:rsidRDefault="009D6FD5">
            <w:pPr>
              <w:spacing w:after="0"/>
              <w:rPr>
                <w:rFonts w:cs="Arial"/>
                <w:sz w:val="18"/>
                <w:szCs w:val="18"/>
                <w:lang w:eastAsia="en-GB"/>
              </w:rPr>
            </w:pPr>
            <w:r w:rsidRPr="00B91524">
              <w:rPr>
                <w:rFonts w:cs="Arial"/>
                <w:sz w:val="18"/>
                <w:szCs w:val="18"/>
                <w:lang w:eastAsia="en-GB"/>
              </w:rPr>
              <w:t xml:space="preserve">Mixed sediment mapped during 2011/2012 EIA survey and bedrock / stony reef recorded during 2019 Site </w:t>
            </w:r>
            <w:proofErr w:type="spellStart"/>
            <w:r w:rsidRPr="00B91524">
              <w:rPr>
                <w:rFonts w:cs="Arial"/>
                <w:sz w:val="18"/>
                <w:szCs w:val="18"/>
                <w:lang w:eastAsia="en-GB"/>
              </w:rPr>
              <w:t>Charaterisation</w:t>
            </w:r>
            <w:proofErr w:type="spellEnd"/>
            <w:r w:rsidRPr="00B91524">
              <w:rPr>
                <w:rFonts w:cs="Arial"/>
                <w:sz w:val="18"/>
                <w:szCs w:val="18"/>
                <w:lang w:eastAsia="en-GB"/>
              </w:rPr>
              <w:t xml:space="preserve"> survey.</w:t>
            </w:r>
          </w:p>
        </w:tc>
        <w:tc>
          <w:tcPr>
            <w:tcW w:w="191" w:type="pct"/>
            <w:tcBorders>
              <w:top w:val="nil"/>
              <w:left w:val="nil"/>
              <w:bottom w:val="single" w:sz="4" w:space="0" w:color="auto"/>
              <w:right w:val="single" w:sz="4" w:space="0" w:color="auto"/>
            </w:tcBorders>
            <w:shd w:val="clear" w:color="auto" w:fill="auto"/>
            <w:noWrap/>
            <w:vAlign w:val="center"/>
            <w:hideMark/>
          </w:tcPr>
          <w:p w14:paraId="0911AECF"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E</w:t>
            </w:r>
          </w:p>
        </w:tc>
        <w:tc>
          <w:tcPr>
            <w:tcW w:w="390" w:type="pct"/>
            <w:tcBorders>
              <w:top w:val="nil"/>
              <w:left w:val="nil"/>
              <w:bottom w:val="single" w:sz="4" w:space="0" w:color="auto"/>
              <w:right w:val="single" w:sz="4" w:space="0" w:color="auto"/>
            </w:tcBorders>
            <w:shd w:val="clear" w:color="auto" w:fill="auto"/>
            <w:noWrap/>
            <w:vAlign w:val="center"/>
            <w:hideMark/>
          </w:tcPr>
          <w:p w14:paraId="066BDEF2"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End</w:t>
            </w:r>
          </w:p>
        </w:tc>
        <w:tc>
          <w:tcPr>
            <w:tcW w:w="372" w:type="pct"/>
            <w:tcBorders>
              <w:top w:val="nil"/>
              <w:left w:val="nil"/>
              <w:bottom w:val="single" w:sz="4" w:space="0" w:color="auto"/>
              <w:right w:val="single" w:sz="4" w:space="0" w:color="auto"/>
            </w:tcBorders>
            <w:shd w:val="clear" w:color="auto" w:fill="auto"/>
            <w:noWrap/>
            <w:vAlign w:val="center"/>
            <w:hideMark/>
          </w:tcPr>
          <w:p w14:paraId="73548FAD"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246963.17</w:t>
            </w:r>
          </w:p>
        </w:tc>
        <w:tc>
          <w:tcPr>
            <w:tcW w:w="446" w:type="pct"/>
            <w:tcBorders>
              <w:top w:val="nil"/>
              <w:left w:val="nil"/>
              <w:bottom w:val="single" w:sz="4" w:space="0" w:color="auto"/>
              <w:right w:val="single" w:sz="4" w:space="0" w:color="auto"/>
            </w:tcBorders>
            <w:shd w:val="clear" w:color="auto" w:fill="auto"/>
            <w:noWrap/>
            <w:vAlign w:val="center"/>
            <w:hideMark/>
          </w:tcPr>
          <w:p w14:paraId="0E18CEAC"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6058277.54</w:t>
            </w:r>
          </w:p>
        </w:tc>
        <w:tc>
          <w:tcPr>
            <w:tcW w:w="171" w:type="pct"/>
            <w:tcBorders>
              <w:top w:val="nil"/>
              <w:left w:val="nil"/>
              <w:bottom w:val="single" w:sz="4" w:space="0" w:color="auto"/>
              <w:right w:val="single" w:sz="4" w:space="0" w:color="auto"/>
            </w:tcBorders>
            <w:shd w:val="clear" w:color="auto" w:fill="auto"/>
            <w:noWrap/>
            <w:vAlign w:val="center"/>
            <w:hideMark/>
          </w:tcPr>
          <w:p w14:paraId="68BD4279" w14:textId="77777777" w:rsidR="009D6FD5" w:rsidRPr="00B91524" w:rsidRDefault="009D6FD5" w:rsidP="009D6FD5">
            <w:pPr>
              <w:spacing w:after="0"/>
              <w:jc w:val="center"/>
              <w:rPr>
                <w:rFonts w:cs="Arial"/>
                <w:sz w:val="18"/>
                <w:szCs w:val="18"/>
                <w:lang w:eastAsia="en-GB"/>
              </w:rPr>
            </w:pPr>
            <w:r w:rsidRPr="00B91524">
              <w:rPr>
                <w:rFonts w:cs="Arial"/>
                <w:sz w:val="18"/>
                <w:szCs w:val="18"/>
                <w:lang w:eastAsia="en-GB"/>
              </w:rPr>
              <w:t>7.5</w:t>
            </w:r>
          </w:p>
        </w:tc>
      </w:tr>
    </w:tbl>
    <w:p w14:paraId="39E3E9BE" w14:textId="77777777" w:rsidR="001051EF" w:rsidRPr="00B91524" w:rsidRDefault="001051EF">
      <w:pPr>
        <w:pStyle w:val="Caption"/>
        <w:sectPr w:rsidR="001051EF" w:rsidRPr="00B91524" w:rsidSect="0009712F">
          <w:pgSz w:w="16848" w:h="11916" w:orient="landscape"/>
          <w:pgMar w:top="1080" w:right="1440" w:bottom="1080" w:left="1440" w:header="850" w:footer="708" w:gutter="0"/>
          <w:cols w:space="720"/>
          <w:docGrid w:linePitch="360"/>
        </w:sectPr>
      </w:pPr>
    </w:p>
    <w:p w14:paraId="57E915C5" w14:textId="73ED91EF" w:rsidR="00F25600" w:rsidRPr="00B91524" w:rsidRDefault="00F25600" w:rsidP="00843131">
      <w:pPr>
        <w:pStyle w:val="Appendix"/>
        <w:rPr>
          <w:lang w:eastAsia="en-GB"/>
        </w:rPr>
      </w:pPr>
      <w:bookmarkStart w:id="151" w:name="_Toc74670354"/>
      <w:r w:rsidRPr="00B91524">
        <w:rPr>
          <w:lang w:eastAsia="en-GB"/>
        </w:rPr>
        <w:lastRenderedPageBreak/>
        <w:t>final sampling design – OFFSHORE (BEYOND Kilometre Point 10)</w:t>
      </w:r>
      <w:bookmarkEnd w:id="151"/>
    </w:p>
    <w:p w14:paraId="0BAFA9D7" w14:textId="6773DB7E" w:rsidR="009B53D4" w:rsidRPr="00B91524" w:rsidRDefault="00B03BAA" w:rsidP="00843131">
      <w:pPr>
        <w:pStyle w:val="Appendixsubheading"/>
        <w:rPr>
          <w:b w:val="0"/>
          <w:caps w:val="0"/>
        </w:rPr>
      </w:pPr>
      <w:r w:rsidRPr="00B91524">
        <w:t>Feature of Focus I &amp; III: Sediments and INNS</w:t>
      </w:r>
    </w:p>
    <w:p w14:paraId="6AA59945" w14:textId="651E963A" w:rsidR="00E412F7" w:rsidRPr="00B91524" w:rsidRDefault="003F4D41" w:rsidP="003F4D41">
      <w:pPr>
        <w:jc w:val="both"/>
        <w:rPr>
          <w:rFonts w:eastAsia="Calibri"/>
          <w:lang w:eastAsia="en-GB"/>
        </w:rPr>
      </w:pPr>
      <w:r w:rsidRPr="00B91524">
        <w:rPr>
          <w:rFonts w:eastAsia="Calibri"/>
          <w:lang w:eastAsia="en-GB"/>
        </w:rPr>
        <w:t xml:space="preserve">A combination of the updated habitat mapping (see Appendix </w:t>
      </w:r>
      <w:r w:rsidR="007443E4" w:rsidRPr="00B91524">
        <w:rPr>
          <w:rFonts w:eastAsia="Calibri"/>
          <w:lang w:eastAsia="en-GB"/>
        </w:rPr>
        <w:t>L</w:t>
      </w:r>
      <w:r w:rsidRPr="00B91524">
        <w:rPr>
          <w:rFonts w:eastAsia="Calibri"/>
          <w:lang w:eastAsia="en-GB"/>
        </w:rPr>
        <w:t xml:space="preserve">), existing </w:t>
      </w:r>
      <w:proofErr w:type="spellStart"/>
      <w:r w:rsidRPr="00B91524">
        <w:rPr>
          <w:rFonts w:eastAsia="Calibri"/>
          <w:lang w:eastAsia="en-GB"/>
        </w:rPr>
        <w:t>EUSeaMap</w:t>
      </w:r>
      <w:proofErr w:type="spellEnd"/>
      <w:r w:rsidRPr="00B91524">
        <w:rPr>
          <w:rFonts w:eastAsia="Calibri"/>
          <w:lang w:eastAsia="en-GB"/>
        </w:rPr>
        <w:t xml:space="preserve"> mapping available from </w:t>
      </w:r>
      <w:proofErr w:type="spellStart"/>
      <w:r w:rsidRPr="00B91524">
        <w:rPr>
          <w:rFonts w:eastAsia="Calibri"/>
          <w:lang w:eastAsia="en-GB"/>
        </w:rPr>
        <w:t>EMODnet</w:t>
      </w:r>
      <w:proofErr w:type="spellEnd"/>
      <w:r w:rsidRPr="00B91524">
        <w:rPr>
          <w:rFonts w:eastAsia="Calibri"/>
          <w:lang w:eastAsia="en-GB"/>
        </w:rPr>
        <w:t xml:space="preserve">, the indicative scour assessment, and </w:t>
      </w:r>
      <w:r w:rsidR="00410B25" w:rsidRPr="00B91524">
        <w:rPr>
          <w:rFonts w:eastAsia="Calibri"/>
          <w:lang w:eastAsia="en-GB"/>
        </w:rPr>
        <w:t xml:space="preserve">data from </w:t>
      </w:r>
      <w:r w:rsidRPr="00B91524">
        <w:rPr>
          <w:rFonts w:eastAsia="Calibri"/>
          <w:lang w:eastAsia="en-GB"/>
        </w:rPr>
        <w:t xml:space="preserve">historical sampling </w:t>
      </w:r>
      <w:r w:rsidR="00410B25" w:rsidRPr="00B91524">
        <w:rPr>
          <w:rFonts w:eastAsia="Calibri"/>
          <w:lang w:eastAsia="en-GB"/>
        </w:rPr>
        <w:t>stations</w:t>
      </w:r>
      <w:r w:rsidRPr="00B91524">
        <w:rPr>
          <w:rFonts w:eastAsia="Calibri"/>
          <w:lang w:eastAsia="en-GB"/>
        </w:rPr>
        <w:t xml:space="preserve"> were used to inform the selection of </w:t>
      </w:r>
      <w:r w:rsidR="00F715D0" w:rsidRPr="00B91524">
        <w:rPr>
          <w:rFonts w:eastAsia="Calibri"/>
          <w:lang w:eastAsia="en-GB"/>
        </w:rPr>
        <w:t xml:space="preserve">the </w:t>
      </w:r>
      <w:r w:rsidR="00E412F7" w:rsidRPr="00B91524">
        <w:rPr>
          <w:rFonts w:eastAsia="Calibri"/>
          <w:lang w:eastAsia="en-GB"/>
        </w:rPr>
        <w:t xml:space="preserve">sampling stations proposed to monitor potential impacts of </w:t>
      </w:r>
      <w:proofErr w:type="spellStart"/>
      <w:r w:rsidR="00E412F7" w:rsidRPr="00B91524">
        <w:rPr>
          <w:rFonts w:eastAsia="Calibri"/>
          <w:lang w:eastAsia="en-GB"/>
        </w:rPr>
        <w:t>FoF</w:t>
      </w:r>
      <w:proofErr w:type="spellEnd"/>
      <w:r w:rsidR="00E412F7" w:rsidRPr="00B91524">
        <w:rPr>
          <w:rFonts w:eastAsia="Calibri"/>
          <w:lang w:eastAsia="en-GB"/>
        </w:rPr>
        <w:t xml:space="preserve"> I &amp; III.</w:t>
      </w:r>
      <w:r w:rsidR="0022701C" w:rsidRPr="00B91524">
        <w:rPr>
          <w:rFonts w:eastAsia="Calibri"/>
          <w:lang w:eastAsia="en-GB"/>
        </w:rPr>
        <w:t xml:space="preserve"> </w:t>
      </w:r>
      <w:r w:rsidR="009346A8" w:rsidRPr="00B91524">
        <w:rPr>
          <w:rFonts w:eastAsia="Calibri"/>
          <w:lang w:eastAsia="en-GB"/>
        </w:rPr>
        <w:t xml:space="preserve">Once positioned, </w:t>
      </w:r>
      <w:r w:rsidR="00B22A9B" w:rsidRPr="00B91524">
        <w:rPr>
          <w:rFonts w:eastAsia="Calibri"/>
          <w:lang w:eastAsia="en-GB"/>
        </w:rPr>
        <w:t xml:space="preserve">the stations were </w:t>
      </w:r>
      <w:proofErr w:type="spellStart"/>
      <w:r w:rsidR="00B22A9B" w:rsidRPr="00B91524">
        <w:rPr>
          <w:rFonts w:eastAsia="Calibri"/>
          <w:lang w:eastAsia="en-GB"/>
        </w:rPr>
        <w:t>microsited</w:t>
      </w:r>
      <w:proofErr w:type="spellEnd"/>
      <w:r w:rsidR="00B22A9B" w:rsidRPr="00B91524">
        <w:rPr>
          <w:rFonts w:eastAsia="Calibri"/>
          <w:lang w:eastAsia="en-GB"/>
        </w:rPr>
        <w:t xml:space="preserve"> to eliminate potential conflict with any </w:t>
      </w:r>
      <w:r w:rsidR="009346A8" w:rsidRPr="00B91524">
        <w:rPr>
          <w:rFonts w:eastAsia="Calibri"/>
          <w:lang w:eastAsia="en-GB"/>
        </w:rPr>
        <w:t xml:space="preserve">UXO and archaeological </w:t>
      </w:r>
      <w:r w:rsidR="00B22A9B" w:rsidRPr="00B91524">
        <w:rPr>
          <w:rFonts w:eastAsia="Calibri"/>
          <w:lang w:eastAsia="en-GB"/>
        </w:rPr>
        <w:t>targets identified during the 2020 site investigation survey</w:t>
      </w:r>
      <w:r w:rsidR="003572C6" w:rsidRPr="00B91524">
        <w:rPr>
          <w:rFonts w:eastAsia="Calibri"/>
          <w:lang w:eastAsia="en-GB"/>
        </w:rPr>
        <w:t xml:space="preserve"> programme</w:t>
      </w:r>
      <w:r w:rsidR="00B22A9B" w:rsidRPr="00B91524">
        <w:rPr>
          <w:rFonts w:eastAsia="Calibri"/>
          <w:lang w:eastAsia="en-GB"/>
        </w:rPr>
        <w:t>.</w:t>
      </w:r>
      <w:r w:rsidR="009346A8" w:rsidRPr="00B91524">
        <w:rPr>
          <w:rFonts w:eastAsia="Calibri"/>
          <w:lang w:eastAsia="en-GB"/>
        </w:rPr>
        <w:t xml:space="preserve"> </w:t>
      </w:r>
      <w:r w:rsidR="0022701C" w:rsidRPr="00B91524">
        <w:rPr>
          <w:rFonts w:eastAsia="Calibri"/>
          <w:lang w:eastAsia="en-GB"/>
        </w:rPr>
        <w:t xml:space="preserve">The proposed sampling stations accompanied by </w:t>
      </w:r>
      <w:r w:rsidR="00B22A9B" w:rsidRPr="00B91524">
        <w:rPr>
          <w:rFonts w:eastAsia="Calibri"/>
          <w:lang w:eastAsia="en-GB"/>
        </w:rPr>
        <w:t xml:space="preserve">a </w:t>
      </w:r>
      <w:r w:rsidR="0022701C" w:rsidRPr="00B91524">
        <w:rPr>
          <w:rFonts w:eastAsia="Calibri"/>
          <w:lang w:eastAsia="en-GB"/>
        </w:rPr>
        <w:t xml:space="preserve">rationale </w:t>
      </w:r>
      <w:r w:rsidR="009A7118" w:rsidRPr="00B91524">
        <w:rPr>
          <w:rFonts w:eastAsia="Calibri"/>
          <w:lang w:eastAsia="en-GB"/>
        </w:rPr>
        <w:t>for the select</w:t>
      </w:r>
      <w:r w:rsidR="003572C6" w:rsidRPr="00B91524">
        <w:rPr>
          <w:rFonts w:eastAsia="Calibri"/>
          <w:lang w:eastAsia="en-GB"/>
        </w:rPr>
        <w:t>ion</w:t>
      </w:r>
      <w:r w:rsidR="009A7118" w:rsidRPr="00B91524">
        <w:rPr>
          <w:rFonts w:eastAsia="Calibri"/>
          <w:lang w:eastAsia="en-GB"/>
        </w:rPr>
        <w:t xml:space="preserve"> of each location </w:t>
      </w:r>
      <w:r w:rsidR="0022701C" w:rsidRPr="00B91524">
        <w:rPr>
          <w:rFonts w:eastAsia="Calibri"/>
          <w:lang w:eastAsia="en-GB"/>
        </w:rPr>
        <w:t xml:space="preserve">are provided </w:t>
      </w:r>
      <w:r w:rsidR="00343694" w:rsidRPr="00294036">
        <w:rPr>
          <w:rFonts w:eastAsia="Calibri"/>
          <w:highlight w:val="yellow"/>
          <w:lang w:eastAsia="en-GB"/>
        </w:rPr>
        <w:t xml:space="preserve">as Annex </w:t>
      </w:r>
      <w:r w:rsidR="00101EAD" w:rsidRPr="00294036">
        <w:rPr>
          <w:rFonts w:eastAsia="Calibri"/>
          <w:highlight w:val="yellow"/>
          <w:lang w:eastAsia="en-GB"/>
        </w:rPr>
        <w:t>1 (as a separate document)</w:t>
      </w:r>
      <w:r w:rsidR="007443E4" w:rsidRPr="00B91524">
        <w:rPr>
          <w:rFonts w:eastAsia="Calibri"/>
          <w:lang w:eastAsia="en-GB"/>
        </w:rPr>
        <w:t>.</w:t>
      </w:r>
    </w:p>
    <w:p w14:paraId="2726B7E6" w14:textId="64F667F7" w:rsidR="00756738" w:rsidRPr="00B91524" w:rsidRDefault="00756738" w:rsidP="003F4D41">
      <w:pPr>
        <w:jc w:val="both"/>
        <w:rPr>
          <w:rFonts w:eastAsia="Calibri"/>
          <w:b/>
          <w:bCs/>
          <w:lang w:eastAsia="en-GB"/>
        </w:rPr>
      </w:pPr>
      <w:r w:rsidRPr="00B91524">
        <w:rPr>
          <w:rFonts w:eastAsia="Calibri"/>
          <w:b/>
          <w:bCs/>
          <w:lang w:eastAsia="en-GB"/>
        </w:rPr>
        <w:t>WTGs</w:t>
      </w:r>
    </w:p>
    <w:p w14:paraId="614E9B81" w14:textId="0243BCFD" w:rsidR="00274369" w:rsidRDefault="00E412F7" w:rsidP="003F4D41">
      <w:pPr>
        <w:jc w:val="both"/>
        <w:rPr>
          <w:rFonts w:eastAsia="Calibri"/>
          <w:lang w:eastAsia="en-GB"/>
        </w:rPr>
      </w:pPr>
      <w:r w:rsidRPr="00B91524">
        <w:rPr>
          <w:rFonts w:eastAsia="Calibri"/>
          <w:lang w:eastAsia="en-GB"/>
        </w:rPr>
        <w:t xml:space="preserve">Sampling stations located at the </w:t>
      </w:r>
      <w:r w:rsidR="003F4D41" w:rsidRPr="00B91524">
        <w:rPr>
          <w:rFonts w:eastAsia="Calibri"/>
          <w:lang w:eastAsia="en-GB"/>
        </w:rPr>
        <w:t>WTG</w:t>
      </w:r>
      <w:r w:rsidRPr="00B91524">
        <w:rPr>
          <w:rFonts w:eastAsia="Calibri"/>
          <w:lang w:eastAsia="en-GB"/>
        </w:rPr>
        <w:t xml:space="preserve"> </w:t>
      </w:r>
      <w:r w:rsidR="000F3C51" w:rsidRPr="00B91524">
        <w:rPr>
          <w:rFonts w:eastAsia="Calibri"/>
          <w:lang w:eastAsia="en-GB"/>
        </w:rPr>
        <w:t>l</w:t>
      </w:r>
      <w:r w:rsidRPr="00B91524">
        <w:rPr>
          <w:rFonts w:eastAsia="Calibri"/>
          <w:lang w:eastAsia="en-GB"/>
        </w:rPr>
        <w:t>ocations</w:t>
      </w:r>
      <w:r w:rsidR="003F4D41" w:rsidRPr="00B91524">
        <w:rPr>
          <w:rFonts w:eastAsia="Calibri"/>
          <w:lang w:eastAsia="en-GB"/>
        </w:rPr>
        <w:t xml:space="preserve"> were selected based on the widest geographic spread of different broad scale habitats, combined with the var</w:t>
      </w:r>
      <w:r w:rsidRPr="00B91524">
        <w:rPr>
          <w:rFonts w:eastAsia="Calibri"/>
          <w:lang w:eastAsia="en-GB"/>
        </w:rPr>
        <w:t>ying</w:t>
      </w:r>
      <w:r w:rsidR="003F4D41" w:rsidRPr="00B91524">
        <w:rPr>
          <w:rFonts w:eastAsia="Calibri"/>
          <w:lang w:eastAsia="en-GB"/>
        </w:rPr>
        <w:t xml:space="preserve"> levels of scour </w:t>
      </w:r>
      <w:r w:rsidRPr="00B91524">
        <w:rPr>
          <w:rFonts w:eastAsia="Calibri"/>
          <w:lang w:eastAsia="en-GB"/>
        </w:rPr>
        <w:t>predicted</w:t>
      </w:r>
      <w:r w:rsidR="003F4D41" w:rsidRPr="00B91524">
        <w:rPr>
          <w:rFonts w:eastAsia="Calibri"/>
          <w:lang w:eastAsia="en-GB"/>
        </w:rPr>
        <w:t xml:space="preserve"> across the </w:t>
      </w:r>
      <w:r w:rsidRPr="00B91524">
        <w:rPr>
          <w:rFonts w:eastAsia="Calibri"/>
          <w:lang w:eastAsia="en-GB"/>
        </w:rPr>
        <w:t>SOWF array area</w:t>
      </w:r>
      <w:r w:rsidR="003F4D41" w:rsidRPr="00B91524">
        <w:rPr>
          <w:rFonts w:eastAsia="Calibri"/>
          <w:lang w:eastAsia="en-GB"/>
        </w:rPr>
        <w:t xml:space="preserve">. </w:t>
      </w:r>
      <w:r w:rsidR="005F3782" w:rsidRPr="00B91524">
        <w:rPr>
          <w:rFonts w:eastAsia="Calibri"/>
          <w:lang w:eastAsia="en-GB"/>
        </w:rPr>
        <w:t xml:space="preserve">Predicted scour was based on preliminary shear stress analysis, presented in the form of heat maps, showing the percentage of time where the threshold for mobility for fine sand (d100 = 0.2 mm) was predicted to be exceeded during typical wintertime conditions. Fine sand </w:t>
      </w:r>
      <w:r w:rsidR="009346A8" w:rsidRPr="00B91524">
        <w:rPr>
          <w:rFonts w:eastAsia="Calibri"/>
          <w:lang w:eastAsia="en-GB"/>
        </w:rPr>
        <w:t xml:space="preserve">and </w:t>
      </w:r>
      <w:r w:rsidR="005F3782" w:rsidRPr="00B91524">
        <w:rPr>
          <w:rFonts w:eastAsia="Calibri"/>
          <w:lang w:eastAsia="en-GB"/>
        </w:rPr>
        <w:t xml:space="preserve">winter conditions were used </w:t>
      </w:r>
      <w:r w:rsidR="00AF7362" w:rsidRPr="00B91524">
        <w:rPr>
          <w:rFonts w:eastAsia="Calibri"/>
          <w:lang w:eastAsia="en-GB"/>
        </w:rPr>
        <w:t xml:space="preserve">as they represented </w:t>
      </w:r>
      <w:r w:rsidR="00B16771" w:rsidRPr="00B91524">
        <w:rPr>
          <w:rFonts w:eastAsia="Calibri"/>
          <w:lang w:eastAsia="en-GB"/>
        </w:rPr>
        <w:t>the greatest range in % time of likely scour</w:t>
      </w:r>
      <w:r w:rsidR="009346A8" w:rsidRPr="00B91524">
        <w:rPr>
          <w:rFonts w:eastAsia="Calibri"/>
          <w:lang w:eastAsia="en-GB"/>
        </w:rPr>
        <w:t xml:space="preserve"> and therefore the ‘worst-case’ scour scenario</w:t>
      </w:r>
      <w:r w:rsidR="00B16771" w:rsidRPr="00B91524">
        <w:rPr>
          <w:rFonts w:eastAsia="Calibri"/>
          <w:lang w:eastAsia="en-GB"/>
        </w:rPr>
        <w:t xml:space="preserve">. </w:t>
      </w:r>
      <w:r w:rsidR="003F4D41" w:rsidRPr="00B91524">
        <w:rPr>
          <w:rFonts w:eastAsia="Calibri"/>
          <w:lang w:eastAsia="en-GB"/>
        </w:rPr>
        <w:t xml:space="preserve">Each turbine location was assigned a scour score of high, medium, or low based on </w:t>
      </w:r>
      <w:r w:rsidR="00B16771" w:rsidRPr="00B91524">
        <w:rPr>
          <w:rFonts w:eastAsia="Calibri"/>
          <w:lang w:eastAsia="en-GB"/>
        </w:rPr>
        <w:t>this analysis</w:t>
      </w:r>
      <w:r w:rsidR="00B82AC5" w:rsidRPr="00B91524">
        <w:rPr>
          <w:rFonts w:eastAsia="Calibri"/>
          <w:lang w:eastAsia="en-GB"/>
        </w:rPr>
        <w:t xml:space="preserve"> along with a dominant broad </w:t>
      </w:r>
      <w:r w:rsidR="00C93649" w:rsidRPr="00B91524">
        <w:rPr>
          <w:rFonts w:eastAsia="Calibri"/>
          <w:lang w:eastAsia="en-GB"/>
        </w:rPr>
        <w:t>s</w:t>
      </w:r>
      <w:r w:rsidR="00B82AC5" w:rsidRPr="00B91524">
        <w:rPr>
          <w:rFonts w:eastAsia="Calibri"/>
          <w:lang w:eastAsia="en-GB"/>
        </w:rPr>
        <w:t>cale habitat allowing for a representative range of both scour and habitat type to be covered by the proposed sampling array.</w:t>
      </w:r>
    </w:p>
    <w:p w14:paraId="7BB5E8DC" w14:textId="3436FACD" w:rsidR="00503317" w:rsidRPr="00B91524" w:rsidRDefault="00503317" w:rsidP="003F4D41">
      <w:pPr>
        <w:jc w:val="both"/>
        <w:rPr>
          <w:rFonts w:eastAsia="Calibri"/>
          <w:lang w:eastAsia="en-GB"/>
        </w:rPr>
      </w:pPr>
      <w:r w:rsidRPr="00294036">
        <w:rPr>
          <w:rFonts w:eastAsia="Calibri"/>
          <w:highlight w:val="yellow"/>
          <w:lang w:eastAsia="en-GB"/>
        </w:rPr>
        <w:t xml:space="preserve">Buffers were placed around the proposed WTG locations at 100 m, 200 m and 300 m. Eight stations were placed around the proposed WTG locations in a cruciform arrangement. The proposed </w:t>
      </w:r>
      <w:proofErr w:type="spellStart"/>
      <w:r w:rsidRPr="00294036">
        <w:rPr>
          <w:rFonts w:eastAsia="Calibri"/>
          <w:highlight w:val="yellow"/>
          <w:lang w:eastAsia="en-GB"/>
        </w:rPr>
        <w:t>cruciforms</w:t>
      </w:r>
      <w:proofErr w:type="spellEnd"/>
      <w:r w:rsidRPr="00294036">
        <w:rPr>
          <w:rFonts w:eastAsia="Calibri"/>
          <w:highlight w:val="yellow"/>
          <w:lang w:eastAsia="en-GB"/>
        </w:rPr>
        <w:t xml:space="preserve"> consist of ‘long arms’ aligned with the NW to SE tidal axis extending 300 m from each WTG location and ‘short arms’ aligned at right angles to the ‘long arms’ extending 100 m from each WTG location. Sampling stations were positioned at the 100 m, 200 m and 300 m points along each of the ‘long arms’ and at the 100 m point of the ‘short arms’.</w:t>
      </w:r>
    </w:p>
    <w:p w14:paraId="710D7B78" w14:textId="26726F13" w:rsidR="00756738" w:rsidRPr="00B91524" w:rsidRDefault="00756738" w:rsidP="003F4D41">
      <w:pPr>
        <w:jc w:val="both"/>
        <w:rPr>
          <w:rFonts w:eastAsia="Calibri"/>
          <w:b/>
          <w:bCs/>
          <w:lang w:eastAsia="en-GB"/>
        </w:rPr>
      </w:pPr>
      <w:r w:rsidRPr="00B91524">
        <w:rPr>
          <w:rFonts w:eastAsia="Calibri"/>
          <w:b/>
          <w:bCs/>
          <w:lang w:eastAsia="en-GB"/>
        </w:rPr>
        <w:t>ECR</w:t>
      </w:r>
    </w:p>
    <w:p w14:paraId="78AF63E2" w14:textId="61760F6D" w:rsidR="009B53D4" w:rsidRPr="00B91524" w:rsidRDefault="00274369" w:rsidP="003F4D41">
      <w:pPr>
        <w:jc w:val="both"/>
        <w:rPr>
          <w:rFonts w:eastAsia="Calibri"/>
          <w:lang w:eastAsia="en-GB"/>
        </w:rPr>
      </w:pPr>
      <w:r w:rsidRPr="00B91524">
        <w:rPr>
          <w:rFonts w:eastAsia="Calibri"/>
          <w:lang w:eastAsia="en-GB"/>
        </w:rPr>
        <w:t>ECR</w:t>
      </w:r>
      <w:r w:rsidR="00E01F8C" w:rsidRPr="00B91524">
        <w:t xml:space="preserve"> </w:t>
      </w:r>
      <w:r w:rsidR="00E01F8C" w:rsidRPr="00B91524">
        <w:rPr>
          <w:rFonts w:eastAsia="Calibri"/>
          <w:lang w:eastAsia="en-GB"/>
        </w:rPr>
        <w:t xml:space="preserve">stations </w:t>
      </w:r>
      <w:r w:rsidR="009346A8" w:rsidRPr="00B91524">
        <w:rPr>
          <w:rFonts w:eastAsia="Calibri"/>
          <w:lang w:eastAsia="en-GB"/>
        </w:rPr>
        <w:t xml:space="preserve">were </w:t>
      </w:r>
      <w:r w:rsidR="00E01F8C" w:rsidRPr="00B91524">
        <w:rPr>
          <w:rFonts w:eastAsia="Calibri"/>
          <w:lang w:eastAsia="en-GB"/>
        </w:rPr>
        <w:t>positioned to align with historical sampling stations where possible</w:t>
      </w:r>
      <w:r w:rsidR="00694355" w:rsidRPr="00B91524">
        <w:rPr>
          <w:rFonts w:eastAsia="Calibri"/>
          <w:lang w:eastAsia="en-GB"/>
        </w:rPr>
        <w:t>.</w:t>
      </w:r>
      <w:r w:rsidR="00E01F8C" w:rsidRPr="00B91524">
        <w:rPr>
          <w:rFonts w:eastAsia="Calibri"/>
          <w:lang w:eastAsia="en-GB"/>
        </w:rPr>
        <w:t xml:space="preserve"> Stations were placed either side of the ECR at a distance of </w:t>
      </w:r>
      <w:r w:rsidR="00343694" w:rsidRPr="00294036">
        <w:rPr>
          <w:rFonts w:eastAsia="Calibri"/>
          <w:highlight w:val="yellow"/>
          <w:lang w:eastAsia="en-GB"/>
        </w:rPr>
        <w:t>15</w:t>
      </w:r>
      <w:r w:rsidR="00343694" w:rsidRPr="00B91524">
        <w:rPr>
          <w:rFonts w:eastAsia="Calibri"/>
          <w:lang w:eastAsia="en-GB"/>
        </w:rPr>
        <w:t xml:space="preserve"> </w:t>
      </w:r>
      <w:r w:rsidR="00E01F8C" w:rsidRPr="00B91524">
        <w:rPr>
          <w:rFonts w:eastAsia="Calibri"/>
          <w:lang w:eastAsia="en-GB"/>
        </w:rPr>
        <w:t xml:space="preserve">m from the proposed cable. The </w:t>
      </w:r>
      <w:r w:rsidR="009346A8" w:rsidRPr="00B91524">
        <w:rPr>
          <w:rFonts w:eastAsia="Calibri"/>
          <w:lang w:eastAsia="en-GB"/>
        </w:rPr>
        <w:t>range</w:t>
      </w:r>
      <w:r w:rsidR="00E01F8C" w:rsidRPr="00B91524">
        <w:rPr>
          <w:rFonts w:eastAsia="Calibri"/>
          <w:lang w:eastAsia="en-GB"/>
        </w:rPr>
        <w:t xml:space="preserve"> of broad</w:t>
      </w:r>
      <w:r w:rsidR="009346A8" w:rsidRPr="00B91524">
        <w:rPr>
          <w:rFonts w:eastAsia="Calibri"/>
          <w:lang w:eastAsia="en-GB"/>
        </w:rPr>
        <w:t>-</w:t>
      </w:r>
      <w:r w:rsidR="00E01F8C" w:rsidRPr="00B91524">
        <w:rPr>
          <w:rFonts w:eastAsia="Calibri"/>
          <w:lang w:eastAsia="en-GB"/>
        </w:rPr>
        <w:t xml:space="preserve">scale habitats and the geographical spread of historical sampling </w:t>
      </w:r>
      <w:r w:rsidR="009346A8" w:rsidRPr="00B91524">
        <w:rPr>
          <w:rFonts w:eastAsia="Calibri"/>
          <w:lang w:eastAsia="en-GB"/>
        </w:rPr>
        <w:t>was</w:t>
      </w:r>
      <w:r w:rsidR="00E01F8C" w:rsidRPr="00B91524">
        <w:rPr>
          <w:rFonts w:eastAsia="Calibri"/>
          <w:lang w:eastAsia="en-GB"/>
        </w:rPr>
        <w:t xml:space="preserve"> also considered.</w:t>
      </w:r>
      <w:r w:rsidR="00B82AC5" w:rsidRPr="00B91524">
        <w:rPr>
          <w:rFonts w:eastAsia="Calibri"/>
          <w:lang w:eastAsia="en-GB"/>
        </w:rPr>
        <w:t xml:space="preserve"> </w:t>
      </w:r>
    </w:p>
    <w:p w14:paraId="3FCD6A70" w14:textId="2FA488C0" w:rsidR="00756738" w:rsidRPr="00B91524" w:rsidRDefault="00756738" w:rsidP="003F4D41">
      <w:pPr>
        <w:jc w:val="both"/>
        <w:rPr>
          <w:rFonts w:eastAsia="Calibri"/>
          <w:b/>
          <w:bCs/>
          <w:lang w:eastAsia="en-GB"/>
        </w:rPr>
      </w:pPr>
      <w:r w:rsidRPr="00B91524">
        <w:rPr>
          <w:rFonts w:eastAsia="Calibri"/>
          <w:b/>
          <w:bCs/>
          <w:lang w:eastAsia="en-GB"/>
        </w:rPr>
        <w:t>OCP</w:t>
      </w:r>
    </w:p>
    <w:p w14:paraId="5BB36386" w14:textId="0A563B7C" w:rsidR="00A76839" w:rsidRPr="00B91524" w:rsidRDefault="00A76839" w:rsidP="003F4D41">
      <w:pPr>
        <w:jc w:val="both"/>
        <w:rPr>
          <w:rFonts w:eastAsia="Calibri"/>
          <w:lang w:eastAsia="en-GB"/>
        </w:rPr>
      </w:pPr>
      <w:r w:rsidRPr="00B91524">
        <w:rPr>
          <w:rFonts w:eastAsia="Calibri"/>
          <w:lang w:eastAsia="en-GB"/>
        </w:rPr>
        <w:t xml:space="preserve">The OCP </w:t>
      </w:r>
      <w:r w:rsidR="009346A8" w:rsidRPr="00B91524">
        <w:rPr>
          <w:rFonts w:eastAsia="Calibri"/>
          <w:lang w:eastAsia="en-GB"/>
        </w:rPr>
        <w:t xml:space="preserve">sampling </w:t>
      </w:r>
      <w:r w:rsidRPr="00B91524">
        <w:rPr>
          <w:rFonts w:eastAsia="Calibri"/>
          <w:lang w:eastAsia="en-GB"/>
        </w:rPr>
        <w:t xml:space="preserve">consisted of one target which was fulfilled by selecting the central position of the proposed OCP. Buffers were placed around the proposed OCP at </w:t>
      </w:r>
      <w:r w:rsidR="00343694" w:rsidRPr="00294036">
        <w:rPr>
          <w:rFonts w:eastAsia="Calibri"/>
          <w:highlight w:val="yellow"/>
          <w:lang w:eastAsia="en-GB"/>
        </w:rPr>
        <w:t>100</w:t>
      </w:r>
      <w:r w:rsidR="00905E0B" w:rsidRPr="00294036">
        <w:rPr>
          <w:rFonts w:eastAsia="Calibri"/>
          <w:highlight w:val="yellow"/>
          <w:lang w:eastAsia="en-GB"/>
        </w:rPr>
        <w:t xml:space="preserve"> </w:t>
      </w:r>
      <w:r w:rsidRPr="00294036">
        <w:rPr>
          <w:rFonts w:eastAsia="Calibri"/>
          <w:highlight w:val="yellow"/>
          <w:lang w:eastAsia="en-GB"/>
        </w:rPr>
        <w:t>m</w:t>
      </w:r>
      <w:r w:rsidR="00905E0B" w:rsidRPr="00294036">
        <w:rPr>
          <w:rFonts w:eastAsia="Calibri"/>
          <w:highlight w:val="yellow"/>
          <w:lang w:eastAsia="en-GB"/>
        </w:rPr>
        <w:t>, 200 m</w:t>
      </w:r>
      <w:r w:rsidRPr="00294036">
        <w:rPr>
          <w:rFonts w:eastAsia="Calibri"/>
          <w:highlight w:val="yellow"/>
          <w:lang w:eastAsia="en-GB"/>
        </w:rPr>
        <w:t xml:space="preserve"> and 300 m</w:t>
      </w:r>
      <w:r w:rsidR="00503317" w:rsidRPr="00294036">
        <w:rPr>
          <w:rFonts w:eastAsia="Calibri"/>
          <w:highlight w:val="yellow"/>
          <w:lang w:eastAsia="en-GB"/>
        </w:rPr>
        <w:t xml:space="preserve"> and same sampling arrangement was used as for the WTG locations (8 stations</w:t>
      </w:r>
      <w:r w:rsidR="0038035D" w:rsidRPr="00294036">
        <w:rPr>
          <w:rFonts w:eastAsia="Calibri"/>
          <w:highlight w:val="yellow"/>
          <w:lang w:eastAsia="en-GB"/>
        </w:rPr>
        <w:t xml:space="preserve"> in cruciform arrangement</w:t>
      </w:r>
      <w:r w:rsidR="00503317" w:rsidRPr="00294036">
        <w:rPr>
          <w:rFonts w:eastAsia="Calibri"/>
          <w:highlight w:val="yellow"/>
          <w:lang w:eastAsia="en-GB"/>
        </w:rPr>
        <w:t>).</w:t>
      </w:r>
    </w:p>
    <w:p w14:paraId="7EB26630" w14:textId="213DB42E" w:rsidR="00756738" w:rsidRPr="00B91524" w:rsidRDefault="00756738" w:rsidP="003F4D41">
      <w:pPr>
        <w:jc w:val="both"/>
        <w:rPr>
          <w:rFonts w:eastAsia="Calibri"/>
          <w:b/>
          <w:bCs/>
          <w:lang w:eastAsia="en-GB"/>
        </w:rPr>
      </w:pPr>
      <w:r w:rsidRPr="00B91524">
        <w:rPr>
          <w:rFonts w:eastAsia="Calibri"/>
          <w:b/>
          <w:bCs/>
          <w:lang w:eastAsia="en-GB"/>
        </w:rPr>
        <w:t>I</w:t>
      </w:r>
      <w:r w:rsidR="007443E4" w:rsidRPr="00B91524">
        <w:rPr>
          <w:rFonts w:eastAsia="Calibri"/>
          <w:b/>
          <w:bCs/>
          <w:lang w:eastAsia="en-GB"/>
        </w:rPr>
        <w:t xml:space="preserve">nter </w:t>
      </w:r>
      <w:r w:rsidRPr="00B91524">
        <w:rPr>
          <w:rFonts w:eastAsia="Calibri"/>
          <w:b/>
          <w:bCs/>
          <w:lang w:eastAsia="en-GB"/>
        </w:rPr>
        <w:t>A</w:t>
      </w:r>
      <w:r w:rsidR="007443E4" w:rsidRPr="00B91524">
        <w:rPr>
          <w:rFonts w:eastAsia="Calibri"/>
          <w:b/>
          <w:bCs/>
          <w:lang w:eastAsia="en-GB"/>
        </w:rPr>
        <w:t xml:space="preserve">rray </w:t>
      </w:r>
      <w:r w:rsidRPr="00B91524">
        <w:rPr>
          <w:rFonts w:eastAsia="Calibri"/>
          <w:b/>
          <w:bCs/>
          <w:lang w:eastAsia="en-GB"/>
        </w:rPr>
        <w:t>C</w:t>
      </w:r>
      <w:r w:rsidR="007443E4" w:rsidRPr="00B91524">
        <w:rPr>
          <w:rFonts w:eastAsia="Calibri"/>
          <w:b/>
          <w:bCs/>
          <w:lang w:eastAsia="en-GB"/>
        </w:rPr>
        <w:t>ables (IAC)</w:t>
      </w:r>
    </w:p>
    <w:p w14:paraId="4B915B08" w14:textId="7B2F3181" w:rsidR="002722E9" w:rsidRPr="00B91524" w:rsidRDefault="002722E9" w:rsidP="002722E9">
      <w:pPr>
        <w:jc w:val="both"/>
        <w:rPr>
          <w:rFonts w:eastAsia="Calibri"/>
          <w:lang w:eastAsia="en-GB"/>
        </w:rPr>
      </w:pPr>
      <w:r w:rsidRPr="00294036">
        <w:rPr>
          <w:rFonts w:eastAsia="Calibri"/>
          <w:highlight w:val="yellow"/>
          <w:lang w:eastAsia="en-GB"/>
        </w:rPr>
        <w:t>IAC</w:t>
      </w:r>
      <w:r w:rsidRPr="00294036">
        <w:rPr>
          <w:highlight w:val="yellow"/>
        </w:rPr>
        <w:t xml:space="preserve"> </w:t>
      </w:r>
      <w:r w:rsidRPr="00294036">
        <w:rPr>
          <w:rFonts w:eastAsia="Calibri"/>
          <w:highlight w:val="yellow"/>
          <w:lang w:eastAsia="en-GB"/>
        </w:rPr>
        <w:t>stations were positioned to align with historical sampling stations where possible. Stations were placed either side of the IACs at a distance of 15 m from the proposed cable. The range of broad-scale habitats and the geographical spread of historical sampling was also considered.</w:t>
      </w:r>
      <w:r w:rsidRPr="00B91524">
        <w:rPr>
          <w:rFonts w:eastAsia="Calibri"/>
          <w:lang w:eastAsia="en-GB"/>
        </w:rPr>
        <w:t xml:space="preserve"> </w:t>
      </w:r>
    </w:p>
    <w:p w14:paraId="60A2CC0C" w14:textId="5FCBBC30" w:rsidR="00756738" w:rsidRPr="00B91524" w:rsidRDefault="00756738" w:rsidP="003F4D41">
      <w:pPr>
        <w:jc w:val="both"/>
        <w:rPr>
          <w:rFonts w:eastAsia="Calibri"/>
          <w:b/>
          <w:bCs/>
          <w:lang w:eastAsia="en-GB"/>
        </w:rPr>
      </w:pPr>
      <w:r w:rsidRPr="00B91524">
        <w:rPr>
          <w:rFonts w:eastAsia="Calibri"/>
          <w:b/>
          <w:bCs/>
          <w:lang w:eastAsia="en-GB"/>
        </w:rPr>
        <w:t>Control</w:t>
      </w:r>
    </w:p>
    <w:p w14:paraId="6B896E9D" w14:textId="502B0DB9" w:rsidR="003D6637" w:rsidRPr="00B91524" w:rsidRDefault="003D6637" w:rsidP="003F4D41">
      <w:pPr>
        <w:jc w:val="both"/>
        <w:rPr>
          <w:rFonts w:eastAsia="Calibri"/>
          <w:lang w:eastAsia="en-GB"/>
        </w:rPr>
      </w:pPr>
      <w:r w:rsidRPr="00B91524">
        <w:rPr>
          <w:rFonts w:eastAsia="Calibri"/>
          <w:lang w:eastAsia="en-GB"/>
        </w:rPr>
        <w:t xml:space="preserve">To minimise potential conflicts and influence of other seabed infrastructure and activities (e.g. pipelines, subsea cables and other planned OWFs), </w:t>
      </w:r>
      <w:r w:rsidR="00690A8D" w:rsidRPr="00B91524">
        <w:rPr>
          <w:rFonts w:eastAsia="Calibri"/>
          <w:lang w:eastAsia="en-GB"/>
        </w:rPr>
        <w:t xml:space="preserve">nine broad areas were identified as free </w:t>
      </w:r>
      <w:r w:rsidR="009346A8" w:rsidRPr="00B91524">
        <w:rPr>
          <w:rFonts w:eastAsia="Calibri"/>
          <w:lang w:eastAsia="en-GB"/>
        </w:rPr>
        <w:t xml:space="preserve">of conflicts </w:t>
      </w:r>
      <w:r w:rsidR="00690A8D" w:rsidRPr="00B91524">
        <w:rPr>
          <w:rFonts w:eastAsia="Calibri"/>
          <w:lang w:eastAsia="en-GB"/>
        </w:rPr>
        <w:t xml:space="preserve">throughout the Dogger SAC boundary but outside </w:t>
      </w:r>
      <w:r w:rsidR="009A1B6D" w:rsidRPr="00B91524">
        <w:rPr>
          <w:rFonts w:eastAsia="Calibri"/>
          <w:lang w:eastAsia="en-GB"/>
        </w:rPr>
        <w:t xml:space="preserve">the SOWF and DBWF array and cable route boundaries and likely tidal excursion zones. The </w:t>
      </w:r>
      <w:r w:rsidRPr="00B91524">
        <w:rPr>
          <w:rFonts w:eastAsia="Calibri"/>
          <w:lang w:eastAsia="en-GB"/>
        </w:rPr>
        <w:t xml:space="preserve">resulting polygons were used to </w:t>
      </w:r>
      <w:r w:rsidR="003572C6" w:rsidRPr="00B91524">
        <w:rPr>
          <w:rFonts w:eastAsia="Calibri"/>
          <w:lang w:eastAsia="en-GB"/>
        </w:rPr>
        <w:t>position</w:t>
      </w:r>
      <w:r w:rsidRPr="00B91524">
        <w:rPr>
          <w:rFonts w:eastAsia="Calibri"/>
          <w:lang w:eastAsia="en-GB"/>
        </w:rPr>
        <w:t xml:space="preserve"> 12 </w:t>
      </w:r>
      <w:r w:rsidR="003572C6" w:rsidRPr="00B91524">
        <w:rPr>
          <w:rFonts w:eastAsia="Calibri"/>
          <w:lang w:eastAsia="en-GB"/>
        </w:rPr>
        <w:lastRenderedPageBreak/>
        <w:t xml:space="preserve">suitable </w:t>
      </w:r>
      <w:r w:rsidR="009A1B6D" w:rsidRPr="00B91524">
        <w:rPr>
          <w:rFonts w:eastAsia="Calibri"/>
          <w:lang w:eastAsia="en-GB"/>
        </w:rPr>
        <w:t>control stations</w:t>
      </w:r>
      <w:r w:rsidRPr="00B91524">
        <w:rPr>
          <w:rFonts w:eastAsia="Calibri"/>
          <w:lang w:eastAsia="en-GB"/>
        </w:rPr>
        <w:t>. All historical sample data was filtered and the dominant broad</w:t>
      </w:r>
      <w:r w:rsidR="003572C6" w:rsidRPr="00B91524">
        <w:rPr>
          <w:rFonts w:eastAsia="Calibri"/>
          <w:lang w:eastAsia="en-GB"/>
        </w:rPr>
        <w:t>-</w:t>
      </w:r>
      <w:r w:rsidRPr="00B91524">
        <w:rPr>
          <w:rFonts w:eastAsia="Calibri"/>
          <w:lang w:eastAsia="en-GB"/>
        </w:rPr>
        <w:t>scale habitats identified within each polygon</w:t>
      </w:r>
      <w:r w:rsidR="003572C6" w:rsidRPr="00B91524">
        <w:rPr>
          <w:rFonts w:eastAsia="Calibri"/>
          <w:lang w:eastAsia="en-GB"/>
        </w:rPr>
        <w:t xml:space="preserve"> based on the updated habitat mapping</w:t>
      </w:r>
      <w:r w:rsidRPr="00B91524">
        <w:rPr>
          <w:rFonts w:eastAsia="Calibri"/>
          <w:lang w:eastAsia="en-GB"/>
        </w:rPr>
        <w:t xml:space="preserve">. One station was selected </w:t>
      </w:r>
      <w:r w:rsidR="009A1B6D" w:rsidRPr="00B91524">
        <w:rPr>
          <w:rFonts w:eastAsia="Calibri"/>
          <w:lang w:eastAsia="en-GB"/>
        </w:rPr>
        <w:t xml:space="preserve">within each of the 9 control areas </w:t>
      </w:r>
      <w:r w:rsidRPr="00B91524">
        <w:rPr>
          <w:rFonts w:eastAsia="Calibri"/>
          <w:lang w:eastAsia="en-GB"/>
        </w:rPr>
        <w:t xml:space="preserve">to </w:t>
      </w:r>
      <w:r w:rsidR="009A1B6D" w:rsidRPr="00B91524">
        <w:rPr>
          <w:rFonts w:eastAsia="Calibri"/>
          <w:lang w:eastAsia="en-GB"/>
        </w:rPr>
        <w:t>achieve</w:t>
      </w:r>
      <w:r w:rsidRPr="00B91524">
        <w:rPr>
          <w:rFonts w:eastAsia="Calibri"/>
          <w:lang w:eastAsia="en-GB"/>
        </w:rPr>
        <w:t xml:space="preserve"> a wide geographic spread of the dominant broadscale habitat types that </w:t>
      </w:r>
      <w:r w:rsidR="003572C6" w:rsidRPr="00B91524">
        <w:rPr>
          <w:rFonts w:eastAsia="Calibri"/>
          <w:lang w:eastAsia="en-GB"/>
        </w:rPr>
        <w:t xml:space="preserve">are to be sampled </w:t>
      </w:r>
      <w:r w:rsidRPr="00B91524">
        <w:rPr>
          <w:rFonts w:eastAsia="Calibri"/>
          <w:lang w:eastAsia="en-GB"/>
        </w:rPr>
        <w:t>within the SOWF area. One station was chosen based on the co-dominance of two broadscale habitat types. A further two stations were chosen to ensure the full range of available broad</w:t>
      </w:r>
      <w:r w:rsidR="003572C6" w:rsidRPr="00B91524">
        <w:rPr>
          <w:rFonts w:eastAsia="Calibri"/>
          <w:lang w:eastAsia="en-GB"/>
        </w:rPr>
        <w:t>-</w:t>
      </w:r>
      <w:r w:rsidRPr="00B91524">
        <w:rPr>
          <w:rFonts w:eastAsia="Calibri"/>
          <w:lang w:eastAsia="en-GB"/>
        </w:rPr>
        <w:t xml:space="preserve">scale habitats were </w:t>
      </w:r>
      <w:r w:rsidR="009A1B6D" w:rsidRPr="00B91524">
        <w:rPr>
          <w:rFonts w:eastAsia="Calibri"/>
          <w:lang w:eastAsia="en-GB"/>
        </w:rPr>
        <w:t>covered</w:t>
      </w:r>
      <w:r w:rsidRPr="00B91524">
        <w:rPr>
          <w:rFonts w:eastAsia="Calibri"/>
          <w:lang w:eastAsia="en-GB"/>
        </w:rPr>
        <w:t xml:space="preserve">. When </w:t>
      </w:r>
      <w:r w:rsidR="009A1B6D" w:rsidRPr="00B91524">
        <w:rPr>
          <w:rFonts w:eastAsia="Calibri"/>
          <w:lang w:eastAsia="en-GB"/>
        </w:rPr>
        <w:t>possible,</w:t>
      </w:r>
      <w:r w:rsidRPr="00B91524">
        <w:rPr>
          <w:rFonts w:eastAsia="Calibri"/>
          <w:lang w:eastAsia="en-GB"/>
        </w:rPr>
        <w:t xml:space="preserve"> stations were </w:t>
      </w:r>
      <w:r w:rsidR="009A1B6D" w:rsidRPr="00B91524">
        <w:rPr>
          <w:rFonts w:eastAsia="Calibri"/>
          <w:lang w:eastAsia="en-GB"/>
        </w:rPr>
        <w:t>selected</w:t>
      </w:r>
      <w:r w:rsidRPr="00B91524">
        <w:rPr>
          <w:rFonts w:eastAsia="Calibri"/>
          <w:lang w:eastAsia="en-GB"/>
        </w:rPr>
        <w:t xml:space="preserve"> at a central location within each polygon, away from the </w:t>
      </w:r>
      <w:r w:rsidR="009A1B6D" w:rsidRPr="00B91524">
        <w:rPr>
          <w:rFonts w:eastAsia="Calibri"/>
          <w:lang w:eastAsia="en-GB"/>
        </w:rPr>
        <w:t xml:space="preserve">boundaries to further reduce any influence of </w:t>
      </w:r>
      <w:r w:rsidR="008D42DB" w:rsidRPr="00B91524">
        <w:rPr>
          <w:rFonts w:eastAsia="Calibri"/>
          <w:lang w:eastAsia="en-GB"/>
        </w:rPr>
        <w:t>other activities</w:t>
      </w:r>
      <w:r w:rsidRPr="00B91524">
        <w:rPr>
          <w:rFonts w:eastAsia="Calibri"/>
          <w:lang w:eastAsia="en-GB"/>
        </w:rPr>
        <w:t xml:space="preserve">.  </w:t>
      </w:r>
    </w:p>
    <w:p w14:paraId="02C6DFC2" w14:textId="77777777" w:rsidR="008C59E4" w:rsidRPr="00B91524" w:rsidRDefault="008C59E4" w:rsidP="003F4D41">
      <w:pPr>
        <w:jc w:val="both"/>
        <w:rPr>
          <w:rFonts w:eastAsia="Calibri"/>
          <w:b/>
          <w:bCs/>
          <w:lang w:eastAsia="en-GB"/>
        </w:rPr>
      </w:pPr>
      <w:r w:rsidRPr="00B91524">
        <w:rPr>
          <w:rFonts w:eastAsia="Calibri"/>
          <w:b/>
          <w:bCs/>
          <w:lang w:eastAsia="en-GB"/>
        </w:rPr>
        <w:t>BRUVs</w:t>
      </w:r>
    </w:p>
    <w:p w14:paraId="170BC4DE" w14:textId="208C7ACA" w:rsidR="00BD5757" w:rsidRPr="00B91524" w:rsidRDefault="00EC4538" w:rsidP="00BD5757">
      <w:pPr>
        <w:jc w:val="both"/>
        <w:rPr>
          <w:rFonts w:eastAsia="Calibri"/>
          <w:lang w:eastAsia="en-GB"/>
        </w:rPr>
      </w:pPr>
      <w:r w:rsidRPr="00B91524">
        <w:rPr>
          <w:rFonts w:eastAsia="Calibri"/>
          <w:lang w:eastAsia="en-GB"/>
        </w:rPr>
        <w:t>A sub</w:t>
      </w:r>
      <w:r w:rsidR="0094419B" w:rsidRPr="00B91524">
        <w:rPr>
          <w:rFonts w:eastAsia="Calibri"/>
          <w:lang w:eastAsia="en-GB"/>
        </w:rPr>
        <w:t xml:space="preserve">set </w:t>
      </w:r>
      <w:r w:rsidRPr="00B91524">
        <w:rPr>
          <w:rFonts w:eastAsia="Calibri"/>
          <w:lang w:eastAsia="en-GB"/>
        </w:rPr>
        <w:t xml:space="preserve">of the proposed target stations located </w:t>
      </w:r>
      <w:r w:rsidR="00E3485E" w:rsidRPr="00B91524">
        <w:rPr>
          <w:rFonts w:eastAsia="Calibri"/>
          <w:lang w:eastAsia="en-GB"/>
        </w:rPr>
        <w:t>at</w:t>
      </w:r>
      <w:r w:rsidRPr="00B91524">
        <w:rPr>
          <w:rFonts w:eastAsia="Calibri"/>
          <w:lang w:eastAsia="en-GB"/>
        </w:rPr>
        <w:t xml:space="preserve"> the WTG, ECR and IAC locations were </w:t>
      </w:r>
      <w:r w:rsidR="0094419B" w:rsidRPr="00B91524">
        <w:rPr>
          <w:rFonts w:eastAsia="Calibri"/>
          <w:lang w:eastAsia="en-GB"/>
        </w:rPr>
        <w:t>selected</w:t>
      </w:r>
      <w:r w:rsidRPr="00B91524">
        <w:rPr>
          <w:rFonts w:eastAsia="Calibri"/>
          <w:lang w:eastAsia="en-GB"/>
        </w:rPr>
        <w:t xml:space="preserve"> for BRUV</w:t>
      </w:r>
      <w:r w:rsidR="0094419B" w:rsidRPr="00B91524">
        <w:rPr>
          <w:rFonts w:eastAsia="Calibri"/>
          <w:lang w:eastAsia="en-GB"/>
        </w:rPr>
        <w:t xml:space="preserve"> deployments</w:t>
      </w:r>
      <w:r w:rsidRPr="00B91524">
        <w:rPr>
          <w:rFonts w:eastAsia="Calibri"/>
          <w:lang w:eastAsia="en-GB"/>
        </w:rPr>
        <w:t>. The diversity of broadscale habitats, and the geographic spread was accounted for when selecting stations.  Both proposed ECR stations were placed on the same side of the proposed cable for continuity but the furthest away geographically. When selecting WTG stations the position of the OCP and IAC BRUV stations were considered to ensure a wide geographic spread</w:t>
      </w:r>
      <w:r w:rsidR="0094419B" w:rsidRPr="00B91524">
        <w:rPr>
          <w:rFonts w:eastAsia="Calibri"/>
          <w:lang w:eastAsia="en-GB"/>
        </w:rPr>
        <w:t xml:space="preserve"> across the array area.</w:t>
      </w:r>
      <w:r w:rsidR="00BD5757" w:rsidRPr="00B91524">
        <w:rPr>
          <w:rFonts w:eastAsia="Calibri"/>
          <w:lang w:eastAsia="en-GB"/>
        </w:rPr>
        <w:tab/>
      </w:r>
    </w:p>
    <w:p w14:paraId="33F1D328" w14:textId="632007D7" w:rsidR="00393F55" w:rsidRPr="00B91524" w:rsidRDefault="00393F55" w:rsidP="00393F55">
      <w:pPr>
        <w:pStyle w:val="Appendixsubheading"/>
      </w:pPr>
      <w:r w:rsidRPr="00B91524">
        <w:t>Feature of Focus III: BIOGEN</w:t>
      </w:r>
      <w:r w:rsidR="007443E4" w:rsidRPr="00B91524">
        <w:t>i</w:t>
      </w:r>
      <w:r w:rsidRPr="00B91524">
        <w:t>C/GEOGENIC REEF &amp; INNS</w:t>
      </w:r>
    </w:p>
    <w:p w14:paraId="09736E9B" w14:textId="601B826B" w:rsidR="009A2153" w:rsidRPr="00B91524" w:rsidRDefault="00382447" w:rsidP="00843131">
      <w:pPr>
        <w:pStyle w:val="Appendixsubheading"/>
        <w:jc w:val="both"/>
        <w:rPr>
          <w:rFonts w:eastAsia="Calibri"/>
          <w:lang w:eastAsia="en-GB"/>
        </w:rPr>
        <w:sectPr w:rsidR="009A2153" w:rsidRPr="00B91524" w:rsidSect="001051EF">
          <w:headerReference w:type="default" r:id="rId48"/>
          <w:pgSz w:w="11916" w:h="16848"/>
          <w:pgMar w:top="1440" w:right="1080" w:bottom="1440" w:left="1080" w:header="850" w:footer="708" w:gutter="0"/>
          <w:cols w:space="720"/>
          <w:docGrid w:linePitch="360"/>
        </w:sectPr>
      </w:pPr>
      <w:r w:rsidRPr="00B91524">
        <w:rPr>
          <w:rFonts w:eastAsia="Calibri"/>
          <w:b w:val="0"/>
          <w:caps w:val="0"/>
          <w:color w:val="auto"/>
          <w:sz w:val="22"/>
          <w:lang w:eastAsia="en-GB"/>
        </w:rPr>
        <w:t xml:space="preserve">All transects were </w:t>
      </w:r>
      <w:r w:rsidR="003076B0" w:rsidRPr="00B91524">
        <w:rPr>
          <w:rFonts w:eastAsia="Calibri"/>
          <w:b w:val="0"/>
          <w:caps w:val="0"/>
          <w:color w:val="auto"/>
          <w:sz w:val="22"/>
          <w:lang w:eastAsia="en-GB"/>
        </w:rPr>
        <w:t>positioned to target</w:t>
      </w:r>
      <w:r w:rsidRPr="00B91524">
        <w:rPr>
          <w:rFonts w:eastAsia="Calibri"/>
          <w:b w:val="0"/>
          <w:caps w:val="0"/>
          <w:color w:val="auto"/>
          <w:sz w:val="22"/>
          <w:lang w:eastAsia="en-GB"/>
        </w:rPr>
        <w:t xml:space="preserve"> areas </w:t>
      </w:r>
      <w:r w:rsidR="0042503B" w:rsidRPr="00B91524">
        <w:rPr>
          <w:rFonts w:eastAsia="Calibri"/>
          <w:b w:val="0"/>
          <w:caps w:val="0"/>
          <w:color w:val="auto"/>
          <w:sz w:val="22"/>
          <w:lang w:eastAsia="en-GB"/>
        </w:rPr>
        <w:t>deemed to qualify as stony</w:t>
      </w:r>
      <w:r w:rsidRPr="00B91524">
        <w:rPr>
          <w:rFonts w:eastAsia="Calibri"/>
          <w:b w:val="0"/>
          <w:caps w:val="0"/>
          <w:color w:val="auto"/>
          <w:sz w:val="22"/>
          <w:lang w:eastAsia="en-GB"/>
        </w:rPr>
        <w:t xml:space="preserve"> reef </w:t>
      </w:r>
      <w:r w:rsidR="003076B0" w:rsidRPr="00B91524">
        <w:rPr>
          <w:rFonts w:eastAsia="Calibri"/>
          <w:b w:val="0"/>
          <w:caps w:val="0"/>
          <w:color w:val="auto"/>
          <w:sz w:val="22"/>
          <w:lang w:eastAsia="en-GB"/>
        </w:rPr>
        <w:t xml:space="preserve">during the 2020 ground-truthing survey campaign that </w:t>
      </w:r>
      <w:r w:rsidR="003B1E81" w:rsidRPr="00B91524">
        <w:rPr>
          <w:rFonts w:eastAsia="Calibri"/>
          <w:b w:val="0"/>
          <w:caps w:val="0"/>
          <w:color w:val="auto"/>
          <w:sz w:val="22"/>
          <w:lang w:eastAsia="en-GB"/>
        </w:rPr>
        <w:t xml:space="preserve">are </w:t>
      </w:r>
      <w:r w:rsidR="0042503B" w:rsidRPr="00B91524">
        <w:rPr>
          <w:rFonts w:eastAsia="Calibri"/>
          <w:b w:val="0"/>
          <w:caps w:val="0"/>
          <w:color w:val="auto"/>
          <w:sz w:val="22"/>
          <w:lang w:eastAsia="en-GB"/>
        </w:rPr>
        <w:t xml:space="preserve">also </w:t>
      </w:r>
      <w:r w:rsidR="003076B0" w:rsidRPr="00B91524">
        <w:rPr>
          <w:rFonts w:eastAsia="Calibri"/>
          <w:b w:val="0"/>
          <w:caps w:val="0"/>
          <w:color w:val="auto"/>
          <w:sz w:val="22"/>
          <w:lang w:eastAsia="en-GB"/>
        </w:rPr>
        <w:t xml:space="preserve">intersected by </w:t>
      </w:r>
      <w:r w:rsidRPr="00B91524">
        <w:rPr>
          <w:rFonts w:eastAsia="Calibri"/>
          <w:b w:val="0"/>
          <w:caps w:val="0"/>
          <w:color w:val="auto"/>
          <w:sz w:val="22"/>
          <w:lang w:eastAsia="en-GB"/>
        </w:rPr>
        <w:t>the proposed ECR route. Sites were selected for their geographical spread along the ECR as well as a combination of stony reef interpreted as either low or medium resemblance</w:t>
      </w:r>
      <w:r w:rsidR="00633309" w:rsidRPr="00B91524">
        <w:rPr>
          <w:rFonts w:eastAsia="Calibri"/>
          <w:b w:val="0"/>
          <w:caps w:val="0"/>
          <w:color w:val="auto"/>
          <w:sz w:val="22"/>
          <w:lang w:eastAsia="en-GB"/>
        </w:rPr>
        <w:t xml:space="preserve"> in line with Irving (2009).</w:t>
      </w:r>
      <w:r w:rsidR="005A1588" w:rsidRPr="00B91524">
        <w:rPr>
          <w:rFonts w:eastAsia="Calibri"/>
          <w:b w:val="0"/>
          <w:caps w:val="0"/>
          <w:color w:val="auto"/>
          <w:sz w:val="22"/>
          <w:lang w:eastAsia="en-GB"/>
        </w:rPr>
        <w:t xml:space="preserve"> The proposed sampling stations accompanied by rationale are provided in Table </w:t>
      </w:r>
      <w:r w:rsidR="00790D33" w:rsidRPr="00B91524">
        <w:rPr>
          <w:rFonts w:eastAsia="Calibri"/>
          <w:b w:val="0"/>
          <w:caps w:val="0"/>
          <w:color w:val="auto"/>
          <w:sz w:val="22"/>
          <w:lang w:eastAsia="en-GB"/>
        </w:rPr>
        <w:t>J</w:t>
      </w:r>
      <w:r w:rsidR="005A1588" w:rsidRPr="00B91524">
        <w:rPr>
          <w:rFonts w:eastAsia="Calibri"/>
          <w:b w:val="0"/>
          <w:caps w:val="0"/>
          <w:color w:val="auto"/>
          <w:sz w:val="22"/>
          <w:lang w:eastAsia="en-GB"/>
        </w:rPr>
        <w:t>-3</w:t>
      </w:r>
      <w:r w:rsidR="00867427" w:rsidRPr="00B91524">
        <w:rPr>
          <w:rFonts w:eastAsia="Calibri"/>
          <w:b w:val="0"/>
          <w:caps w:val="0"/>
          <w:color w:val="auto"/>
          <w:sz w:val="22"/>
          <w:lang w:eastAsia="en-GB"/>
        </w:rPr>
        <w:t xml:space="preserve"> whilst the GIS shapefiles are provided</w:t>
      </w:r>
      <w:r w:rsidR="007443E4" w:rsidRPr="00B91524">
        <w:rPr>
          <w:rFonts w:eastAsia="Calibri"/>
          <w:b w:val="0"/>
          <w:caps w:val="0"/>
          <w:color w:val="auto"/>
          <w:sz w:val="22"/>
          <w:lang w:eastAsia="en-GB"/>
        </w:rPr>
        <w:t xml:space="preserve"> </w:t>
      </w:r>
      <w:r w:rsidR="00C93649" w:rsidRPr="00B91524">
        <w:rPr>
          <w:rFonts w:eastAsia="Calibri"/>
          <w:b w:val="0"/>
          <w:caps w:val="0"/>
          <w:color w:val="auto"/>
          <w:sz w:val="22"/>
          <w:lang w:eastAsia="en-GB"/>
        </w:rPr>
        <w:t>separately</w:t>
      </w:r>
      <w:r w:rsidR="00867427" w:rsidRPr="00B91524">
        <w:rPr>
          <w:rFonts w:eastAsia="Calibri"/>
          <w:b w:val="0"/>
          <w:caps w:val="0"/>
          <w:color w:val="auto"/>
          <w:sz w:val="22"/>
          <w:lang w:eastAsia="en-GB"/>
        </w:rPr>
        <w:t>.</w:t>
      </w:r>
    </w:p>
    <w:p w14:paraId="310798EE" w14:textId="787937C6" w:rsidR="00995E80" w:rsidRPr="00B91524" w:rsidRDefault="00995E80" w:rsidP="00995E80">
      <w:pPr>
        <w:rPr>
          <w:rFonts w:eastAsia="Calibri"/>
        </w:rPr>
      </w:pPr>
    </w:p>
    <w:p w14:paraId="682258BF" w14:textId="5D5DA615" w:rsidR="00F25600" w:rsidRPr="00B91524" w:rsidRDefault="00CC060E">
      <w:pPr>
        <w:pStyle w:val="Appendix"/>
        <w:rPr>
          <w:lang w:eastAsia="en-GB"/>
        </w:rPr>
      </w:pPr>
      <w:r w:rsidRPr="00B91524">
        <w:rPr>
          <w:lang w:eastAsia="en-GB"/>
        </w:rPr>
        <w:tab/>
      </w:r>
      <w:bookmarkStart w:id="152" w:name="_Toc74670355"/>
      <w:r w:rsidR="00F25600" w:rsidRPr="00B91524">
        <w:t>Senckenberg</w:t>
      </w:r>
      <w:r w:rsidR="00F25600" w:rsidRPr="00B91524">
        <w:rPr>
          <w:lang w:eastAsia="en-GB"/>
        </w:rPr>
        <w:t xml:space="preserve"> Research Institute (SRI) long-term and REWIND sampling design</w:t>
      </w:r>
      <w:bookmarkEnd w:id="152"/>
      <w:r w:rsidR="00705865" w:rsidRPr="00B91524">
        <w:rPr>
          <w:lang w:eastAsia="en-GB"/>
        </w:rPr>
        <w:t xml:space="preserve"> </w:t>
      </w:r>
    </w:p>
    <w:p w14:paraId="0B3387C1" w14:textId="77777777" w:rsidR="00A756A8" w:rsidRPr="00B91524" w:rsidRDefault="00A756A8" w:rsidP="00843131">
      <w:pPr>
        <w:jc w:val="both"/>
        <w:rPr>
          <w:rFonts w:eastAsia="Calibri"/>
          <w:lang w:eastAsia="en-GB"/>
        </w:rPr>
      </w:pPr>
      <w:r w:rsidRPr="00B91524">
        <w:rPr>
          <w:rFonts w:eastAsia="Calibri"/>
          <w:lang w:eastAsia="en-GB"/>
        </w:rPr>
        <w:t xml:space="preserve">Long-term sampling sites from SRI and Rewind, 37 and 45 stations respectively, were combined in order to conduct a micro-siting investigation across the proposed SOWF and surrounding area. This considered all proposed and current infrastructure including, Sofia and neighbouring Dogger Bank A, B and C wind farms and infrastructure, UXOs, subsea cables, oil and gas pipelines, and archaeological </w:t>
      </w:r>
      <w:proofErr w:type="spellStart"/>
      <w:r w:rsidRPr="00B91524">
        <w:rPr>
          <w:rFonts w:eastAsia="Calibri"/>
          <w:lang w:eastAsia="en-GB"/>
        </w:rPr>
        <w:t>artifacts</w:t>
      </w:r>
      <w:proofErr w:type="spellEnd"/>
      <w:r w:rsidRPr="00B91524">
        <w:rPr>
          <w:rFonts w:eastAsia="Calibri"/>
          <w:lang w:eastAsia="en-GB"/>
        </w:rPr>
        <w:t xml:space="preserve"> in order to mitigate for arising conflicts and ensure long-term sampling is conducted outside of any known nearshore impacts.</w:t>
      </w:r>
    </w:p>
    <w:p w14:paraId="6A80E7E8" w14:textId="535FE0C3" w:rsidR="00A756A8" w:rsidRPr="00B91524" w:rsidRDefault="00A756A8" w:rsidP="00A756A8">
      <w:pPr>
        <w:jc w:val="both"/>
        <w:rPr>
          <w:rFonts w:eastAsia="Calibri"/>
          <w:lang w:eastAsia="en-GB"/>
        </w:rPr>
      </w:pPr>
      <w:r w:rsidRPr="00B91524">
        <w:rPr>
          <w:rFonts w:eastAsia="Calibri"/>
          <w:lang w:eastAsia="en-GB"/>
        </w:rPr>
        <w:t>Stations were relocated if they occurred within 1km of most infrastructures, proposed and existing. Where this was not possible such as within the IAC, stations were relocated equidistant to infrastructures at the greatest distance possible. Care was taken to also not place relocated stations on top of other long-term/historical sampling sites. A total of 31 stations were relocated.</w:t>
      </w:r>
      <w:r w:rsidR="00B71DB2" w:rsidRPr="00B91524">
        <w:rPr>
          <w:rFonts w:eastAsia="Calibri"/>
          <w:lang w:eastAsia="en-GB"/>
        </w:rPr>
        <w:t xml:space="preserve"> The updated sampling stations accompanied by rationale are provided in Table </w:t>
      </w:r>
      <w:r w:rsidR="00790D33" w:rsidRPr="00B91524">
        <w:rPr>
          <w:rFonts w:eastAsia="Calibri"/>
          <w:lang w:eastAsia="en-GB"/>
        </w:rPr>
        <w:t>K</w:t>
      </w:r>
      <w:r w:rsidR="00B71DB2" w:rsidRPr="00B91524">
        <w:rPr>
          <w:rFonts w:eastAsia="Calibri"/>
          <w:lang w:eastAsia="en-GB"/>
        </w:rPr>
        <w:t>-</w:t>
      </w:r>
      <w:r w:rsidR="00B71DB2" w:rsidRPr="00B91524">
        <w:rPr>
          <w:rFonts w:eastAsia="Calibri"/>
          <w:caps/>
          <w:lang w:eastAsia="en-GB"/>
        </w:rPr>
        <w:t>4</w:t>
      </w:r>
      <w:r w:rsidR="00834EE1" w:rsidRPr="00B91524">
        <w:rPr>
          <w:rFonts w:eastAsia="Calibri"/>
          <w:lang w:eastAsia="en-GB"/>
        </w:rPr>
        <w:t xml:space="preserve"> whilst the GIS shapefiles are provided </w:t>
      </w:r>
      <w:r w:rsidR="00C93649" w:rsidRPr="00B91524">
        <w:rPr>
          <w:rFonts w:eastAsia="Calibri"/>
          <w:lang w:eastAsia="en-GB"/>
        </w:rPr>
        <w:t>separately</w:t>
      </w:r>
      <w:r w:rsidR="00834EE1" w:rsidRPr="00B91524">
        <w:rPr>
          <w:rFonts w:eastAsia="Calibri"/>
          <w:lang w:eastAsia="en-GB"/>
        </w:rPr>
        <w:t>.</w:t>
      </w:r>
    </w:p>
    <w:p w14:paraId="2D829F71" w14:textId="45191D30" w:rsidR="007F1C57" w:rsidRPr="00B91524" w:rsidRDefault="007F1C57" w:rsidP="00E01828">
      <w:pPr>
        <w:rPr>
          <w:szCs w:val="16"/>
        </w:rPr>
        <w:sectPr w:rsidR="007F1C57" w:rsidRPr="00B91524" w:rsidSect="001051EF">
          <w:headerReference w:type="default" r:id="rId49"/>
          <w:pgSz w:w="11916" w:h="16848"/>
          <w:pgMar w:top="1440" w:right="1080" w:bottom="1440" w:left="1080" w:header="850" w:footer="708" w:gutter="0"/>
          <w:cols w:space="720"/>
          <w:docGrid w:linePitch="360"/>
        </w:sectPr>
      </w:pPr>
    </w:p>
    <w:p w14:paraId="7157A41F" w14:textId="19D5EB73" w:rsidR="007F1C57" w:rsidRPr="00B91524" w:rsidRDefault="007F1C57" w:rsidP="007F1C57">
      <w:pPr>
        <w:rPr>
          <w:szCs w:val="16"/>
        </w:rPr>
      </w:pPr>
      <w:r w:rsidRPr="00B91524">
        <w:rPr>
          <w:szCs w:val="16"/>
        </w:rPr>
        <w:lastRenderedPageBreak/>
        <w:t xml:space="preserve">Table </w:t>
      </w:r>
      <w:r w:rsidR="00790D33" w:rsidRPr="00B91524">
        <w:rPr>
          <w:szCs w:val="16"/>
        </w:rPr>
        <w:t>K</w:t>
      </w:r>
      <w:r w:rsidRPr="00B91524">
        <w:rPr>
          <w:szCs w:val="16"/>
        </w:rPr>
        <w:t>-4 – Rationale and coordinates of SRI long-term monitoring and REWIND research cruises.</w:t>
      </w:r>
    </w:p>
    <w:tbl>
      <w:tblPr>
        <w:tblW w:w="5032" w:type="pct"/>
        <w:tblLook w:val="04A0" w:firstRow="1" w:lastRow="0" w:firstColumn="1" w:lastColumn="0" w:noHBand="0" w:noVBand="1"/>
      </w:tblPr>
      <w:tblGrid>
        <w:gridCol w:w="826"/>
        <w:gridCol w:w="964"/>
        <w:gridCol w:w="7526"/>
        <w:gridCol w:w="823"/>
        <w:gridCol w:w="947"/>
        <w:gridCol w:w="995"/>
        <w:gridCol w:w="966"/>
        <w:gridCol w:w="1000"/>
      </w:tblGrid>
      <w:tr w:rsidR="003A0626" w:rsidRPr="00B91524" w14:paraId="67E196A7" w14:textId="77777777" w:rsidTr="003A0626">
        <w:trPr>
          <w:trHeight w:val="493"/>
        </w:trPr>
        <w:tc>
          <w:tcPr>
            <w:tcW w:w="294" w:type="pct"/>
            <w:tcBorders>
              <w:top w:val="single" w:sz="4" w:space="0" w:color="auto"/>
              <w:left w:val="single" w:sz="4" w:space="0" w:color="auto"/>
              <w:bottom w:val="single" w:sz="4" w:space="0" w:color="auto"/>
              <w:right w:val="single" w:sz="4" w:space="0" w:color="auto"/>
            </w:tcBorders>
            <w:shd w:val="clear" w:color="000000" w:fill="002060"/>
            <w:vAlign w:val="center"/>
            <w:hideMark/>
          </w:tcPr>
          <w:p w14:paraId="03474A6F" w14:textId="77777777" w:rsidR="003A0626" w:rsidRPr="00B91524" w:rsidRDefault="003A0626" w:rsidP="003A0626">
            <w:pPr>
              <w:spacing w:after="0"/>
              <w:rPr>
                <w:rFonts w:ascii="Segoe UI" w:hAnsi="Segoe UI" w:cs="Segoe UI"/>
                <w:b/>
                <w:bCs/>
                <w:color w:val="FFFFFF"/>
                <w:sz w:val="16"/>
                <w:szCs w:val="16"/>
                <w:lang w:eastAsia="en-GB"/>
              </w:rPr>
            </w:pPr>
            <w:bookmarkStart w:id="153" w:name="RANGE!A1:H83"/>
            <w:r w:rsidRPr="00B91524">
              <w:rPr>
                <w:rFonts w:ascii="Segoe UI" w:hAnsi="Segoe UI" w:cs="Segoe UI"/>
                <w:b/>
                <w:bCs/>
                <w:color w:val="FFFFFF"/>
                <w:sz w:val="16"/>
                <w:szCs w:val="16"/>
                <w:lang w:eastAsia="en-GB"/>
              </w:rPr>
              <w:t>Original Station No.</w:t>
            </w:r>
            <w:bookmarkEnd w:id="153"/>
          </w:p>
        </w:tc>
        <w:tc>
          <w:tcPr>
            <w:tcW w:w="343" w:type="pct"/>
            <w:tcBorders>
              <w:top w:val="single" w:sz="4" w:space="0" w:color="auto"/>
              <w:left w:val="nil"/>
              <w:bottom w:val="single" w:sz="4" w:space="0" w:color="auto"/>
              <w:right w:val="single" w:sz="4" w:space="0" w:color="auto"/>
            </w:tcBorders>
            <w:shd w:val="clear" w:color="000000" w:fill="002060"/>
            <w:vAlign w:val="center"/>
            <w:hideMark/>
          </w:tcPr>
          <w:p w14:paraId="60FF3D7E" w14:textId="77777777" w:rsidR="003A0626" w:rsidRPr="00B91524" w:rsidRDefault="003A0626" w:rsidP="003A0626">
            <w:pPr>
              <w:spacing w:after="0"/>
              <w:rPr>
                <w:rFonts w:ascii="Segoe UI" w:hAnsi="Segoe UI" w:cs="Segoe UI"/>
                <w:b/>
                <w:bCs/>
                <w:color w:val="FFFFFF"/>
                <w:sz w:val="16"/>
                <w:szCs w:val="16"/>
                <w:lang w:eastAsia="en-GB"/>
              </w:rPr>
            </w:pPr>
            <w:r w:rsidRPr="00B91524">
              <w:rPr>
                <w:rFonts w:ascii="Segoe UI" w:hAnsi="Segoe UI" w:cs="Segoe UI"/>
                <w:b/>
                <w:bCs/>
                <w:color w:val="FFFFFF"/>
                <w:sz w:val="16"/>
                <w:szCs w:val="16"/>
                <w:lang w:eastAsia="en-GB"/>
              </w:rPr>
              <w:t>Updated Station No.</w:t>
            </w:r>
          </w:p>
        </w:tc>
        <w:tc>
          <w:tcPr>
            <w:tcW w:w="2679" w:type="pct"/>
            <w:tcBorders>
              <w:top w:val="single" w:sz="4" w:space="0" w:color="auto"/>
              <w:left w:val="nil"/>
              <w:bottom w:val="single" w:sz="4" w:space="0" w:color="auto"/>
              <w:right w:val="single" w:sz="4" w:space="0" w:color="auto"/>
            </w:tcBorders>
            <w:shd w:val="clear" w:color="000000" w:fill="002060"/>
            <w:noWrap/>
            <w:vAlign w:val="center"/>
            <w:hideMark/>
          </w:tcPr>
          <w:p w14:paraId="3AE6FB52" w14:textId="77777777" w:rsidR="003A0626" w:rsidRPr="00B91524" w:rsidRDefault="003A0626" w:rsidP="003A0626">
            <w:pPr>
              <w:spacing w:after="0"/>
              <w:rPr>
                <w:rFonts w:ascii="Segoe UI" w:hAnsi="Segoe UI" w:cs="Segoe UI"/>
                <w:b/>
                <w:bCs/>
                <w:color w:val="FFFFFF"/>
                <w:sz w:val="16"/>
                <w:szCs w:val="16"/>
                <w:lang w:eastAsia="en-GB"/>
              </w:rPr>
            </w:pPr>
            <w:r w:rsidRPr="00B91524">
              <w:rPr>
                <w:rFonts w:ascii="Segoe UI" w:hAnsi="Segoe UI" w:cs="Segoe UI"/>
                <w:b/>
                <w:bCs/>
                <w:color w:val="FFFFFF"/>
                <w:sz w:val="16"/>
                <w:szCs w:val="16"/>
                <w:lang w:eastAsia="en-GB"/>
              </w:rPr>
              <w:t>Rationale</w:t>
            </w:r>
          </w:p>
        </w:tc>
        <w:tc>
          <w:tcPr>
            <w:tcW w:w="293" w:type="pct"/>
            <w:tcBorders>
              <w:top w:val="single" w:sz="4" w:space="0" w:color="auto"/>
              <w:left w:val="nil"/>
              <w:bottom w:val="single" w:sz="4" w:space="0" w:color="auto"/>
              <w:right w:val="single" w:sz="4" w:space="0" w:color="auto"/>
            </w:tcBorders>
            <w:shd w:val="clear" w:color="000000" w:fill="002060"/>
            <w:noWrap/>
            <w:vAlign w:val="center"/>
            <w:hideMark/>
          </w:tcPr>
          <w:p w14:paraId="4A443C86" w14:textId="77777777" w:rsidR="003A0626" w:rsidRPr="00B91524" w:rsidRDefault="003A0626" w:rsidP="003A0626">
            <w:pPr>
              <w:spacing w:after="0"/>
              <w:rPr>
                <w:rFonts w:ascii="Segoe UI" w:hAnsi="Segoe UI" w:cs="Segoe UI"/>
                <w:b/>
                <w:bCs/>
                <w:color w:val="FFFFFF"/>
                <w:sz w:val="16"/>
                <w:szCs w:val="16"/>
                <w:lang w:eastAsia="en-GB"/>
              </w:rPr>
            </w:pPr>
            <w:r w:rsidRPr="00B91524">
              <w:rPr>
                <w:rFonts w:ascii="Segoe UI" w:hAnsi="Segoe UI" w:cs="Segoe UI"/>
                <w:b/>
                <w:bCs/>
                <w:color w:val="FFFFFF"/>
                <w:sz w:val="16"/>
                <w:szCs w:val="16"/>
                <w:lang w:eastAsia="en-GB"/>
              </w:rPr>
              <w:t>Cruise</w:t>
            </w:r>
          </w:p>
        </w:tc>
        <w:tc>
          <w:tcPr>
            <w:tcW w:w="337" w:type="pct"/>
            <w:tcBorders>
              <w:top w:val="single" w:sz="4" w:space="0" w:color="auto"/>
              <w:left w:val="nil"/>
              <w:bottom w:val="single" w:sz="4" w:space="0" w:color="auto"/>
              <w:right w:val="single" w:sz="4" w:space="0" w:color="auto"/>
            </w:tcBorders>
            <w:shd w:val="clear" w:color="000000" w:fill="002060"/>
            <w:noWrap/>
            <w:vAlign w:val="center"/>
            <w:hideMark/>
          </w:tcPr>
          <w:p w14:paraId="36D2C250" w14:textId="77777777" w:rsidR="003A0626" w:rsidRPr="00B91524" w:rsidRDefault="003A0626" w:rsidP="003A0626">
            <w:pPr>
              <w:spacing w:after="0"/>
              <w:rPr>
                <w:rFonts w:ascii="Segoe UI" w:hAnsi="Segoe UI" w:cs="Segoe UI"/>
                <w:b/>
                <w:bCs/>
                <w:color w:val="FFFFFF"/>
                <w:sz w:val="16"/>
                <w:szCs w:val="16"/>
                <w:lang w:eastAsia="en-GB"/>
              </w:rPr>
            </w:pPr>
            <w:proofErr w:type="spellStart"/>
            <w:r w:rsidRPr="00B91524">
              <w:rPr>
                <w:rFonts w:ascii="Segoe UI" w:hAnsi="Segoe UI" w:cs="Segoe UI"/>
                <w:b/>
                <w:bCs/>
                <w:color w:val="FFFFFF"/>
                <w:sz w:val="16"/>
                <w:szCs w:val="16"/>
                <w:lang w:eastAsia="en-GB"/>
              </w:rPr>
              <w:t>Orig_Lat</w:t>
            </w:r>
            <w:proofErr w:type="spellEnd"/>
          </w:p>
        </w:tc>
        <w:tc>
          <w:tcPr>
            <w:tcW w:w="354" w:type="pct"/>
            <w:tcBorders>
              <w:top w:val="single" w:sz="4" w:space="0" w:color="auto"/>
              <w:left w:val="nil"/>
              <w:bottom w:val="single" w:sz="4" w:space="0" w:color="auto"/>
              <w:right w:val="single" w:sz="4" w:space="0" w:color="auto"/>
            </w:tcBorders>
            <w:shd w:val="clear" w:color="000000" w:fill="002060"/>
            <w:noWrap/>
            <w:vAlign w:val="center"/>
            <w:hideMark/>
          </w:tcPr>
          <w:p w14:paraId="4E75448A" w14:textId="77777777" w:rsidR="003A0626" w:rsidRPr="00B91524" w:rsidRDefault="003A0626" w:rsidP="003A0626">
            <w:pPr>
              <w:spacing w:after="0"/>
              <w:rPr>
                <w:rFonts w:ascii="Segoe UI" w:hAnsi="Segoe UI" w:cs="Segoe UI"/>
                <w:b/>
                <w:bCs/>
                <w:color w:val="FFFFFF"/>
                <w:sz w:val="16"/>
                <w:szCs w:val="16"/>
                <w:lang w:eastAsia="en-GB"/>
              </w:rPr>
            </w:pPr>
            <w:proofErr w:type="spellStart"/>
            <w:r w:rsidRPr="00B91524">
              <w:rPr>
                <w:rFonts w:ascii="Segoe UI" w:hAnsi="Segoe UI" w:cs="Segoe UI"/>
                <w:b/>
                <w:bCs/>
                <w:color w:val="FFFFFF"/>
                <w:sz w:val="16"/>
                <w:szCs w:val="16"/>
                <w:lang w:eastAsia="en-GB"/>
              </w:rPr>
              <w:t>Orig_Long</w:t>
            </w:r>
            <w:proofErr w:type="spellEnd"/>
          </w:p>
        </w:tc>
        <w:tc>
          <w:tcPr>
            <w:tcW w:w="344" w:type="pct"/>
            <w:tcBorders>
              <w:top w:val="single" w:sz="4" w:space="0" w:color="auto"/>
              <w:left w:val="nil"/>
              <w:bottom w:val="single" w:sz="4" w:space="0" w:color="auto"/>
              <w:right w:val="single" w:sz="4" w:space="0" w:color="auto"/>
            </w:tcBorders>
            <w:shd w:val="clear" w:color="000000" w:fill="002060"/>
            <w:noWrap/>
            <w:vAlign w:val="center"/>
            <w:hideMark/>
          </w:tcPr>
          <w:p w14:paraId="03D334EF" w14:textId="77777777" w:rsidR="003A0626" w:rsidRPr="00B91524" w:rsidRDefault="003A0626" w:rsidP="003A0626">
            <w:pPr>
              <w:spacing w:after="0"/>
              <w:rPr>
                <w:rFonts w:ascii="Segoe UI" w:hAnsi="Segoe UI" w:cs="Segoe UI"/>
                <w:b/>
                <w:bCs/>
                <w:color w:val="FFFFFF"/>
                <w:sz w:val="16"/>
                <w:szCs w:val="16"/>
                <w:lang w:eastAsia="en-GB"/>
              </w:rPr>
            </w:pPr>
            <w:proofErr w:type="spellStart"/>
            <w:r w:rsidRPr="00B91524">
              <w:rPr>
                <w:rFonts w:ascii="Segoe UI" w:hAnsi="Segoe UI" w:cs="Segoe UI"/>
                <w:b/>
                <w:bCs/>
                <w:color w:val="FFFFFF"/>
                <w:sz w:val="16"/>
                <w:szCs w:val="16"/>
                <w:lang w:eastAsia="en-GB"/>
              </w:rPr>
              <w:t>New_Lat</w:t>
            </w:r>
            <w:proofErr w:type="spellEnd"/>
          </w:p>
        </w:tc>
        <w:tc>
          <w:tcPr>
            <w:tcW w:w="358" w:type="pct"/>
            <w:tcBorders>
              <w:top w:val="single" w:sz="4" w:space="0" w:color="auto"/>
              <w:left w:val="nil"/>
              <w:bottom w:val="single" w:sz="4" w:space="0" w:color="auto"/>
              <w:right w:val="single" w:sz="4" w:space="0" w:color="auto"/>
            </w:tcBorders>
            <w:shd w:val="clear" w:color="000000" w:fill="002060"/>
            <w:noWrap/>
            <w:vAlign w:val="center"/>
            <w:hideMark/>
          </w:tcPr>
          <w:p w14:paraId="58A25D49" w14:textId="77777777" w:rsidR="003A0626" w:rsidRPr="00B91524" w:rsidRDefault="003A0626" w:rsidP="003A0626">
            <w:pPr>
              <w:spacing w:after="0"/>
              <w:rPr>
                <w:rFonts w:ascii="Segoe UI" w:hAnsi="Segoe UI" w:cs="Segoe UI"/>
                <w:b/>
                <w:bCs/>
                <w:color w:val="FFFFFF"/>
                <w:sz w:val="16"/>
                <w:szCs w:val="16"/>
                <w:lang w:eastAsia="en-GB"/>
              </w:rPr>
            </w:pPr>
            <w:proofErr w:type="spellStart"/>
            <w:r w:rsidRPr="00B91524">
              <w:rPr>
                <w:rFonts w:ascii="Segoe UI" w:hAnsi="Segoe UI" w:cs="Segoe UI"/>
                <w:b/>
                <w:bCs/>
                <w:color w:val="FFFFFF"/>
                <w:sz w:val="16"/>
                <w:szCs w:val="16"/>
                <w:lang w:eastAsia="en-GB"/>
              </w:rPr>
              <w:t>New_Long</w:t>
            </w:r>
            <w:proofErr w:type="spellEnd"/>
          </w:p>
        </w:tc>
      </w:tr>
      <w:tr w:rsidR="003A0626" w:rsidRPr="00B91524" w14:paraId="5D1DE4E2"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545D7C6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04</w:t>
            </w:r>
          </w:p>
        </w:tc>
        <w:tc>
          <w:tcPr>
            <w:tcW w:w="343" w:type="pct"/>
            <w:tcBorders>
              <w:top w:val="nil"/>
              <w:left w:val="nil"/>
              <w:bottom w:val="single" w:sz="4" w:space="0" w:color="auto"/>
              <w:right w:val="single" w:sz="4" w:space="0" w:color="auto"/>
            </w:tcBorders>
            <w:shd w:val="clear" w:color="auto" w:fill="auto"/>
            <w:noWrap/>
            <w:vAlign w:val="center"/>
            <w:hideMark/>
          </w:tcPr>
          <w:p w14:paraId="217A5F4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w:t>
            </w:r>
          </w:p>
        </w:tc>
        <w:tc>
          <w:tcPr>
            <w:tcW w:w="2679" w:type="pct"/>
            <w:tcBorders>
              <w:top w:val="nil"/>
              <w:left w:val="nil"/>
              <w:bottom w:val="single" w:sz="4" w:space="0" w:color="auto"/>
              <w:right w:val="single" w:sz="4" w:space="0" w:color="auto"/>
            </w:tcBorders>
            <w:shd w:val="clear" w:color="auto" w:fill="auto"/>
            <w:noWrap/>
            <w:vAlign w:val="center"/>
            <w:hideMark/>
          </w:tcPr>
          <w:p w14:paraId="6EA6C551"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0EECA50C"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2784712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54.927513</w:t>
            </w:r>
          </w:p>
        </w:tc>
        <w:tc>
          <w:tcPr>
            <w:tcW w:w="354" w:type="pct"/>
            <w:tcBorders>
              <w:top w:val="nil"/>
              <w:left w:val="nil"/>
              <w:bottom w:val="single" w:sz="4" w:space="0" w:color="auto"/>
              <w:right w:val="single" w:sz="4" w:space="0" w:color="auto"/>
            </w:tcBorders>
            <w:shd w:val="clear" w:color="auto" w:fill="auto"/>
            <w:noWrap/>
            <w:vAlign w:val="center"/>
            <w:hideMark/>
          </w:tcPr>
          <w:p w14:paraId="1EF512E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3.104996</w:t>
            </w:r>
          </w:p>
        </w:tc>
        <w:tc>
          <w:tcPr>
            <w:tcW w:w="344" w:type="pct"/>
            <w:tcBorders>
              <w:top w:val="nil"/>
              <w:left w:val="nil"/>
              <w:bottom w:val="single" w:sz="4" w:space="0" w:color="auto"/>
              <w:right w:val="single" w:sz="4" w:space="0" w:color="auto"/>
            </w:tcBorders>
            <w:shd w:val="clear" w:color="auto" w:fill="auto"/>
            <w:noWrap/>
            <w:vAlign w:val="center"/>
            <w:hideMark/>
          </w:tcPr>
          <w:p w14:paraId="3AE2CA7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54.927513</w:t>
            </w:r>
          </w:p>
        </w:tc>
        <w:tc>
          <w:tcPr>
            <w:tcW w:w="358" w:type="pct"/>
            <w:tcBorders>
              <w:top w:val="nil"/>
              <w:left w:val="nil"/>
              <w:bottom w:val="single" w:sz="4" w:space="0" w:color="auto"/>
              <w:right w:val="single" w:sz="4" w:space="0" w:color="auto"/>
            </w:tcBorders>
            <w:shd w:val="clear" w:color="auto" w:fill="auto"/>
            <w:noWrap/>
            <w:vAlign w:val="center"/>
            <w:hideMark/>
          </w:tcPr>
          <w:p w14:paraId="297DE09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3.104996</w:t>
            </w:r>
          </w:p>
        </w:tc>
      </w:tr>
      <w:tr w:rsidR="003A0626" w:rsidRPr="00B91524" w14:paraId="79766E51"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5EE29EB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05</w:t>
            </w:r>
          </w:p>
        </w:tc>
        <w:tc>
          <w:tcPr>
            <w:tcW w:w="343" w:type="pct"/>
            <w:tcBorders>
              <w:top w:val="nil"/>
              <w:left w:val="nil"/>
              <w:bottom w:val="single" w:sz="4" w:space="0" w:color="auto"/>
              <w:right w:val="single" w:sz="4" w:space="0" w:color="auto"/>
            </w:tcBorders>
            <w:shd w:val="clear" w:color="auto" w:fill="auto"/>
            <w:noWrap/>
            <w:vAlign w:val="center"/>
            <w:hideMark/>
          </w:tcPr>
          <w:p w14:paraId="36F0EDC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w:t>
            </w:r>
          </w:p>
        </w:tc>
        <w:tc>
          <w:tcPr>
            <w:tcW w:w="2679" w:type="pct"/>
            <w:tcBorders>
              <w:top w:val="nil"/>
              <w:left w:val="nil"/>
              <w:bottom w:val="single" w:sz="4" w:space="0" w:color="auto"/>
              <w:right w:val="single" w:sz="4" w:space="0" w:color="auto"/>
            </w:tcBorders>
            <w:shd w:val="clear" w:color="auto" w:fill="auto"/>
            <w:noWrap/>
            <w:vAlign w:val="center"/>
            <w:hideMark/>
          </w:tcPr>
          <w:p w14:paraId="53DE2CA7"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0D63E234"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4BE9AF1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54.984243</w:t>
            </w:r>
          </w:p>
        </w:tc>
        <w:tc>
          <w:tcPr>
            <w:tcW w:w="354" w:type="pct"/>
            <w:tcBorders>
              <w:top w:val="nil"/>
              <w:left w:val="nil"/>
              <w:bottom w:val="single" w:sz="4" w:space="0" w:color="auto"/>
              <w:right w:val="single" w:sz="4" w:space="0" w:color="auto"/>
            </w:tcBorders>
            <w:shd w:val="clear" w:color="auto" w:fill="auto"/>
            <w:noWrap/>
            <w:vAlign w:val="center"/>
            <w:hideMark/>
          </w:tcPr>
          <w:p w14:paraId="5EEE18A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2.946919</w:t>
            </w:r>
          </w:p>
        </w:tc>
        <w:tc>
          <w:tcPr>
            <w:tcW w:w="344" w:type="pct"/>
            <w:tcBorders>
              <w:top w:val="nil"/>
              <w:left w:val="nil"/>
              <w:bottom w:val="single" w:sz="4" w:space="0" w:color="auto"/>
              <w:right w:val="single" w:sz="4" w:space="0" w:color="auto"/>
            </w:tcBorders>
            <w:shd w:val="clear" w:color="auto" w:fill="auto"/>
            <w:noWrap/>
            <w:vAlign w:val="center"/>
            <w:hideMark/>
          </w:tcPr>
          <w:p w14:paraId="6F33E98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54.984243</w:t>
            </w:r>
          </w:p>
        </w:tc>
        <w:tc>
          <w:tcPr>
            <w:tcW w:w="358" w:type="pct"/>
            <w:tcBorders>
              <w:top w:val="nil"/>
              <w:left w:val="nil"/>
              <w:bottom w:val="single" w:sz="4" w:space="0" w:color="auto"/>
              <w:right w:val="single" w:sz="4" w:space="0" w:color="auto"/>
            </w:tcBorders>
            <w:shd w:val="clear" w:color="auto" w:fill="auto"/>
            <w:noWrap/>
            <w:vAlign w:val="center"/>
            <w:hideMark/>
          </w:tcPr>
          <w:p w14:paraId="359392E0"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2.946919</w:t>
            </w:r>
          </w:p>
        </w:tc>
      </w:tr>
      <w:tr w:rsidR="003A0626" w:rsidRPr="00B91524" w14:paraId="25938088"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4F731C8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07</w:t>
            </w:r>
          </w:p>
        </w:tc>
        <w:tc>
          <w:tcPr>
            <w:tcW w:w="343" w:type="pct"/>
            <w:tcBorders>
              <w:top w:val="nil"/>
              <w:left w:val="nil"/>
              <w:bottom w:val="single" w:sz="4" w:space="0" w:color="auto"/>
              <w:right w:val="single" w:sz="4" w:space="0" w:color="auto"/>
            </w:tcBorders>
            <w:shd w:val="clear" w:color="auto" w:fill="auto"/>
            <w:noWrap/>
            <w:vAlign w:val="center"/>
            <w:hideMark/>
          </w:tcPr>
          <w:p w14:paraId="0E1B224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w:t>
            </w:r>
          </w:p>
        </w:tc>
        <w:tc>
          <w:tcPr>
            <w:tcW w:w="2679" w:type="pct"/>
            <w:tcBorders>
              <w:top w:val="nil"/>
              <w:left w:val="nil"/>
              <w:bottom w:val="single" w:sz="4" w:space="0" w:color="auto"/>
              <w:right w:val="single" w:sz="4" w:space="0" w:color="auto"/>
            </w:tcBorders>
            <w:shd w:val="clear" w:color="auto" w:fill="auto"/>
            <w:noWrap/>
            <w:vAlign w:val="center"/>
            <w:hideMark/>
          </w:tcPr>
          <w:p w14:paraId="41FE6AC3"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 xml:space="preserve">Moved 210 m North to avoid conflict with </w:t>
            </w:r>
            <w:proofErr w:type="spellStart"/>
            <w:r w:rsidRPr="00B91524">
              <w:rPr>
                <w:rFonts w:ascii="Segoe UI" w:hAnsi="Segoe UI" w:cs="Segoe UI"/>
                <w:color w:val="000000"/>
                <w:sz w:val="16"/>
                <w:szCs w:val="16"/>
                <w:lang w:eastAsia="en-GB"/>
              </w:rPr>
              <w:t>Doggerbank</w:t>
            </w:r>
            <w:proofErr w:type="spellEnd"/>
            <w:r w:rsidRPr="00B91524">
              <w:rPr>
                <w:rFonts w:ascii="Segoe UI" w:hAnsi="Segoe UI" w:cs="Segoe UI"/>
                <w:color w:val="000000"/>
                <w:sz w:val="16"/>
                <w:szCs w:val="16"/>
                <w:lang w:eastAsia="en-GB"/>
              </w:rPr>
              <w:t xml:space="preserve"> C WTG</w:t>
            </w:r>
          </w:p>
        </w:tc>
        <w:tc>
          <w:tcPr>
            <w:tcW w:w="293" w:type="pct"/>
            <w:tcBorders>
              <w:top w:val="nil"/>
              <w:left w:val="nil"/>
              <w:bottom w:val="single" w:sz="4" w:space="0" w:color="auto"/>
              <w:right w:val="single" w:sz="4" w:space="0" w:color="auto"/>
            </w:tcBorders>
            <w:shd w:val="clear" w:color="auto" w:fill="auto"/>
            <w:noWrap/>
            <w:vAlign w:val="center"/>
            <w:hideMark/>
          </w:tcPr>
          <w:p w14:paraId="58528F6F"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725571E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55.031268</w:t>
            </w:r>
          </w:p>
        </w:tc>
        <w:tc>
          <w:tcPr>
            <w:tcW w:w="354" w:type="pct"/>
            <w:tcBorders>
              <w:top w:val="nil"/>
              <w:left w:val="nil"/>
              <w:bottom w:val="single" w:sz="4" w:space="0" w:color="auto"/>
              <w:right w:val="single" w:sz="4" w:space="0" w:color="auto"/>
            </w:tcBorders>
            <w:shd w:val="clear" w:color="auto" w:fill="auto"/>
            <w:noWrap/>
            <w:vAlign w:val="center"/>
            <w:hideMark/>
          </w:tcPr>
          <w:p w14:paraId="5300CB2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2.810579</w:t>
            </w:r>
          </w:p>
        </w:tc>
        <w:tc>
          <w:tcPr>
            <w:tcW w:w="344" w:type="pct"/>
            <w:tcBorders>
              <w:top w:val="nil"/>
              <w:left w:val="nil"/>
              <w:bottom w:val="single" w:sz="4" w:space="0" w:color="auto"/>
              <w:right w:val="single" w:sz="4" w:space="0" w:color="auto"/>
            </w:tcBorders>
            <w:shd w:val="clear" w:color="auto" w:fill="auto"/>
            <w:noWrap/>
            <w:vAlign w:val="center"/>
            <w:hideMark/>
          </w:tcPr>
          <w:p w14:paraId="607E24E1"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55.033160</w:t>
            </w:r>
          </w:p>
        </w:tc>
        <w:tc>
          <w:tcPr>
            <w:tcW w:w="358" w:type="pct"/>
            <w:tcBorders>
              <w:top w:val="nil"/>
              <w:left w:val="nil"/>
              <w:bottom w:val="single" w:sz="4" w:space="0" w:color="auto"/>
              <w:right w:val="single" w:sz="4" w:space="0" w:color="auto"/>
            </w:tcBorders>
            <w:shd w:val="clear" w:color="auto" w:fill="auto"/>
            <w:noWrap/>
            <w:vAlign w:val="center"/>
            <w:hideMark/>
          </w:tcPr>
          <w:p w14:paraId="6259AEC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2.810534</w:t>
            </w:r>
          </w:p>
        </w:tc>
      </w:tr>
      <w:tr w:rsidR="003A0626" w:rsidRPr="00B91524" w14:paraId="3D1F744C"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26B6B2A1"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09</w:t>
            </w:r>
          </w:p>
        </w:tc>
        <w:tc>
          <w:tcPr>
            <w:tcW w:w="343" w:type="pct"/>
            <w:tcBorders>
              <w:top w:val="nil"/>
              <w:left w:val="nil"/>
              <w:bottom w:val="single" w:sz="4" w:space="0" w:color="auto"/>
              <w:right w:val="single" w:sz="4" w:space="0" w:color="auto"/>
            </w:tcBorders>
            <w:shd w:val="clear" w:color="auto" w:fill="auto"/>
            <w:noWrap/>
            <w:vAlign w:val="center"/>
            <w:hideMark/>
          </w:tcPr>
          <w:p w14:paraId="49EFA06E"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4</w:t>
            </w:r>
          </w:p>
        </w:tc>
        <w:tc>
          <w:tcPr>
            <w:tcW w:w="2679" w:type="pct"/>
            <w:tcBorders>
              <w:top w:val="nil"/>
              <w:left w:val="nil"/>
              <w:bottom w:val="single" w:sz="4" w:space="0" w:color="auto"/>
              <w:right w:val="single" w:sz="4" w:space="0" w:color="auto"/>
            </w:tcBorders>
            <w:shd w:val="clear" w:color="auto" w:fill="auto"/>
            <w:noWrap/>
            <w:vAlign w:val="center"/>
            <w:hideMark/>
          </w:tcPr>
          <w:p w14:paraId="08EA82EB"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 xml:space="preserve">Moved 942 m South to avoid conflict with </w:t>
            </w:r>
            <w:proofErr w:type="spellStart"/>
            <w:r w:rsidRPr="00B91524">
              <w:rPr>
                <w:rFonts w:ascii="Segoe UI" w:hAnsi="Segoe UI" w:cs="Segoe UI"/>
                <w:color w:val="000000"/>
                <w:sz w:val="16"/>
                <w:szCs w:val="16"/>
                <w:lang w:eastAsia="en-GB"/>
              </w:rPr>
              <w:t>Doggerbank</w:t>
            </w:r>
            <w:proofErr w:type="spellEnd"/>
            <w:r w:rsidRPr="00B91524">
              <w:rPr>
                <w:rFonts w:ascii="Segoe UI" w:hAnsi="Segoe UI" w:cs="Segoe UI"/>
                <w:color w:val="000000"/>
                <w:sz w:val="16"/>
                <w:szCs w:val="16"/>
                <w:lang w:eastAsia="en-GB"/>
              </w:rPr>
              <w:t xml:space="preserve"> C WTG</w:t>
            </w:r>
          </w:p>
        </w:tc>
        <w:tc>
          <w:tcPr>
            <w:tcW w:w="293" w:type="pct"/>
            <w:tcBorders>
              <w:top w:val="nil"/>
              <w:left w:val="nil"/>
              <w:bottom w:val="single" w:sz="4" w:space="0" w:color="auto"/>
              <w:right w:val="single" w:sz="4" w:space="0" w:color="auto"/>
            </w:tcBorders>
            <w:shd w:val="clear" w:color="auto" w:fill="auto"/>
            <w:noWrap/>
            <w:vAlign w:val="center"/>
            <w:hideMark/>
          </w:tcPr>
          <w:p w14:paraId="27AD1484"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35F8C6B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55.079369</w:t>
            </w:r>
          </w:p>
        </w:tc>
        <w:tc>
          <w:tcPr>
            <w:tcW w:w="354" w:type="pct"/>
            <w:tcBorders>
              <w:top w:val="nil"/>
              <w:left w:val="nil"/>
              <w:bottom w:val="single" w:sz="4" w:space="0" w:color="auto"/>
              <w:right w:val="single" w:sz="4" w:space="0" w:color="auto"/>
            </w:tcBorders>
            <w:shd w:val="clear" w:color="auto" w:fill="auto"/>
            <w:noWrap/>
            <w:vAlign w:val="center"/>
            <w:hideMark/>
          </w:tcPr>
          <w:p w14:paraId="23EB841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2.676214</w:t>
            </w:r>
          </w:p>
        </w:tc>
        <w:tc>
          <w:tcPr>
            <w:tcW w:w="344" w:type="pct"/>
            <w:tcBorders>
              <w:top w:val="nil"/>
              <w:left w:val="nil"/>
              <w:bottom w:val="single" w:sz="4" w:space="0" w:color="auto"/>
              <w:right w:val="single" w:sz="4" w:space="0" w:color="auto"/>
            </w:tcBorders>
            <w:shd w:val="clear" w:color="auto" w:fill="auto"/>
            <w:noWrap/>
            <w:vAlign w:val="center"/>
            <w:hideMark/>
          </w:tcPr>
          <w:p w14:paraId="1D372FA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55.070906</w:t>
            </w:r>
          </w:p>
        </w:tc>
        <w:tc>
          <w:tcPr>
            <w:tcW w:w="358" w:type="pct"/>
            <w:tcBorders>
              <w:top w:val="nil"/>
              <w:left w:val="nil"/>
              <w:bottom w:val="single" w:sz="4" w:space="0" w:color="auto"/>
              <w:right w:val="single" w:sz="4" w:space="0" w:color="auto"/>
            </w:tcBorders>
            <w:shd w:val="clear" w:color="auto" w:fill="auto"/>
            <w:noWrap/>
            <w:vAlign w:val="center"/>
            <w:hideMark/>
          </w:tcPr>
          <w:p w14:paraId="692B4C6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2.676529</w:t>
            </w:r>
          </w:p>
        </w:tc>
      </w:tr>
      <w:tr w:rsidR="003A0626" w:rsidRPr="00B91524" w14:paraId="37DEBDC5"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7ABD4FC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10</w:t>
            </w:r>
          </w:p>
        </w:tc>
        <w:tc>
          <w:tcPr>
            <w:tcW w:w="343" w:type="pct"/>
            <w:tcBorders>
              <w:top w:val="nil"/>
              <w:left w:val="nil"/>
              <w:bottom w:val="single" w:sz="4" w:space="0" w:color="auto"/>
              <w:right w:val="single" w:sz="4" w:space="0" w:color="auto"/>
            </w:tcBorders>
            <w:shd w:val="clear" w:color="auto" w:fill="auto"/>
            <w:noWrap/>
            <w:vAlign w:val="center"/>
            <w:hideMark/>
          </w:tcPr>
          <w:p w14:paraId="4BA9E8F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w:t>
            </w:r>
          </w:p>
        </w:tc>
        <w:tc>
          <w:tcPr>
            <w:tcW w:w="2679" w:type="pct"/>
            <w:tcBorders>
              <w:top w:val="nil"/>
              <w:left w:val="nil"/>
              <w:bottom w:val="single" w:sz="4" w:space="0" w:color="auto"/>
              <w:right w:val="single" w:sz="4" w:space="0" w:color="auto"/>
            </w:tcBorders>
            <w:shd w:val="clear" w:color="auto" w:fill="auto"/>
            <w:noWrap/>
            <w:vAlign w:val="center"/>
            <w:hideMark/>
          </w:tcPr>
          <w:p w14:paraId="505B591F"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5B76CABC"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774C6B4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55.144356</w:t>
            </w:r>
          </w:p>
        </w:tc>
        <w:tc>
          <w:tcPr>
            <w:tcW w:w="354" w:type="pct"/>
            <w:tcBorders>
              <w:top w:val="nil"/>
              <w:left w:val="nil"/>
              <w:bottom w:val="single" w:sz="4" w:space="0" w:color="auto"/>
              <w:right w:val="single" w:sz="4" w:space="0" w:color="auto"/>
            </w:tcBorders>
            <w:shd w:val="clear" w:color="auto" w:fill="auto"/>
            <w:noWrap/>
            <w:vAlign w:val="center"/>
            <w:hideMark/>
          </w:tcPr>
          <w:p w14:paraId="49BC92F4"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2.505294</w:t>
            </w:r>
          </w:p>
        </w:tc>
        <w:tc>
          <w:tcPr>
            <w:tcW w:w="344" w:type="pct"/>
            <w:tcBorders>
              <w:top w:val="nil"/>
              <w:left w:val="nil"/>
              <w:bottom w:val="single" w:sz="4" w:space="0" w:color="auto"/>
              <w:right w:val="single" w:sz="4" w:space="0" w:color="auto"/>
            </w:tcBorders>
            <w:shd w:val="clear" w:color="auto" w:fill="auto"/>
            <w:noWrap/>
            <w:vAlign w:val="center"/>
            <w:hideMark/>
          </w:tcPr>
          <w:p w14:paraId="625E86C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55.144356</w:t>
            </w:r>
          </w:p>
        </w:tc>
        <w:tc>
          <w:tcPr>
            <w:tcW w:w="358" w:type="pct"/>
            <w:tcBorders>
              <w:top w:val="nil"/>
              <w:left w:val="nil"/>
              <w:bottom w:val="single" w:sz="4" w:space="0" w:color="auto"/>
              <w:right w:val="single" w:sz="4" w:space="0" w:color="auto"/>
            </w:tcBorders>
            <w:shd w:val="clear" w:color="auto" w:fill="auto"/>
            <w:noWrap/>
            <w:vAlign w:val="center"/>
            <w:hideMark/>
          </w:tcPr>
          <w:p w14:paraId="5F64C4C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2.505294</w:t>
            </w:r>
          </w:p>
        </w:tc>
      </w:tr>
      <w:tr w:rsidR="003A0626" w:rsidRPr="00B91524" w14:paraId="50485BB2"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77230B79"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01</w:t>
            </w:r>
          </w:p>
        </w:tc>
        <w:tc>
          <w:tcPr>
            <w:tcW w:w="343" w:type="pct"/>
            <w:tcBorders>
              <w:top w:val="nil"/>
              <w:left w:val="nil"/>
              <w:bottom w:val="single" w:sz="4" w:space="0" w:color="auto"/>
              <w:right w:val="single" w:sz="4" w:space="0" w:color="auto"/>
            </w:tcBorders>
            <w:shd w:val="clear" w:color="auto" w:fill="auto"/>
            <w:noWrap/>
            <w:vAlign w:val="center"/>
            <w:hideMark/>
          </w:tcPr>
          <w:p w14:paraId="167C2A2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6</w:t>
            </w:r>
          </w:p>
        </w:tc>
        <w:tc>
          <w:tcPr>
            <w:tcW w:w="2679" w:type="pct"/>
            <w:tcBorders>
              <w:top w:val="nil"/>
              <w:left w:val="nil"/>
              <w:bottom w:val="single" w:sz="4" w:space="0" w:color="auto"/>
              <w:right w:val="single" w:sz="4" w:space="0" w:color="auto"/>
            </w:tcBorders>
            <w:shd w:val="clear" w:color="auto" w:fill="auto"/>
            <w:noWrap/>
            <w:vAlign w:val="center"/>
            <w:hideMark/>
          </w:tcPr>
          <w:p w14:paraId="3469E420"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5D615DD0"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7B58EB9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55.146050</w:t>
            </w:r>
          </w:p>
        </w:tc>
        <w:tc>
          <w:tcPr>
            <w:tcW w:w="354" w:type="pct"/>
            <w:tcBorders>
              <w:top w:val="nil"/>
              <w:left w:val="nil"/>
              <w:bottom w:val="single" w:sz="4" w:space="0" w:color="auto"/>
              <w:right w:val="single" w:sz="4" w:space="0" w:color="auto"/>
            </w:tcBorders>
            <w:shd w:val="clear" w:color="auto" w:fill="auto"/>
            <w:noWrap/>
            <w:vAlign w:val="center"/>
            <w:hideMark/>
          </w:tcPr>
          <w:p w14:paraId="1D5424A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3.190950</w:t>
            </w:r>
          </w:p>
        </w:tc>
        <w:tc>
          <w:tcPr>
            <w:tcW w:w="344" w:type="pct"/>
            <w:tcBorders>
              <w:top w:val="nil"/>
              <w:left w:val="nil"/>
              <w:bottom w:val="single" w:sz="4" w:space="0" w:color="auto"/>
              <w:right w:val="single" w:sz="4" w:space="0" w:color="auto"/>
            </w:tcBorders>
            <w:shd w:val="clear" w:color="auto" w:fill="auto"/>
            <w:noWrap/>
            <w:vAlign w:val="center"/>
            <w:hideMark/>
          </w:tcPr>
          <w:p w14:paraId="400EF81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55.146050</w:t>
            </w:r>
          </w:p>
        </w:tc>
        <w:tc>
          <w:tcPr>
            <w:tcW w:w="358" w:type="pct"/>
            <w:tcBorders>
              <w:top w:val="nil"/>
              <w:left w:val="nil"/>
              <w:bottom w:val="single" w:sz="4" w:space="0" w:color="auto"/>
              <w:right w:val="single" w:sz="4" w:space="0" w:color="auto"/>
            </w:tcBorders>
            <w:shd w:val="clear" w:color="auto" w:fill="auto"/>
            <w:noWrap/>
            <w:vAlign w:val="center"/>
            <w:hideMark/>
          </w:tcPr>
          <w:p w14:paraId="1950EAB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3.190950</w:t>
            </w:r>
          </w:p>
        </w:tc>
      </w:tr>
      <w:tr w:rsidR="003A0626" w:rsidRPr="00B91524" w14:paraId="79132BA5"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02F29BE0"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02</w:t>
            </w:r>
          </w:p>
        </w:tc>
        <w:tc>
          <w:tcPr>
            <w:tcW w:w="343" w:type="pct"/>
            <w:tcBorders>
              <w:top w:val="nil"/>
              <w:left w:val="nil"/>
              <w:bottom w:val="single" w:sz="4" w:space="0" w:color="auto"/>
              <w:right w:val="single" w:sz="4" w:space="0" w:color="auto"/>
            </w:tcBorders>
            <w:shd w:val="clear" w:color="auto" w:fill="auto"/>
            <w:noWrap/>
            <w:vAlign w:val="center"/>
            <w:hideMark/>
          </w:tcPr>
          <w:p w14:paraId="30529C8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7</w:t>
            </w:r>
          </w:p>
        </w:tc>
        <w:tc>
          <w:tcPr>
            <w:tcW w:w="2679" w:type="pct"/>
            <w:tcBorders>
              <w:top w:val="nil"/>
              <w:left w:val="nil"/>
              <w:bottom w:val="single" w:sz="4" w:space="0" w:color="auto"/>
              <w:right w:val="single" w:sz="4" w:space="0" w:color="auto"/>
            </w:tcBorders>
            <w:shd w:val="clear" w:color="auto" w:fill="auto"/>
            <w:noWrap/>
            <w:vAlign w:val="center"/>
            <w:hideMark/>
          </w:tcPr>
          <w:p w14:paraId="6C4C54DE"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4760A75C"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62013EA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55.075976</w:t>
            </w:r>
          </w:p>
        </w:tc>
        <w:tc>
          <w:tcPr>
            <w:tcW w:w="354" w:type="pct"/>
            <w:tcBorders>
              <w:top w:val="nil"/>
              <w:left w:val="nil"/>
              <w:bottom w:val="single" w:sz="4" w:space="0" w:color="auto"/>
              <w:right w:val="single" w:sz="4" w:space="0" w:color="auto"/>
            </w:tcBorders>
            <w:shd w:val="clear" w:color="auto" w:fill="auto"/>
            <w:noWrap/>
            <w:vAlign w:val="center"/>
            <w:hideMark/>
          </w:tcPr>
          <w:p w14:paraId="64CE4CE9"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2.971619</w:t>
            </w:r>
          </w:p>
        </w:tc>
        <w:tc>
          <w:tcPr>
            <w:tcW w:w="344" w:type="pct"/>
            <w:tcBorders>
              <w:top w:val="nil"/>
              <w:left w:val="nil"/>
              <w:bottom w:val="single" w:sz="4" w:space="0" w:color="auto"/>
              <w:right w:val="single" w:sz="4" w:space="0" w:color="auto"/>
            </w:tcBorders>
            <w:shd w:val="clear" w:color="auto" w:fill="auto"/>
            <w:noWrap/>
            <w:vAlign w:val="center"/>
            <w:hideMark/>
          </w:tcPr>
          <w:p w14:paraId="59696D3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55.075976</w:t>
            </w:r>
          </w:p>
        </w:tc>
        <w:tc>
          <w:tcPr>
            <w:tcW w:w="358" w:type="pct"/>
            <w:tcBorders>
              <w:top w:val="nil"/>
              <w:left w:val="nil"/>
              <w:bottom w:val="single" w:sz="4" w:space="0" w:color="auto"/>
              <w:right w:val="single" w:sz="4" w:space="0" w:color="auto"/>
            </w:tcBorders>
            <w:shd w:val="clear" w:color="auto" w:fill="auto"/>
            <w:noWrap/>
            <w:vAlign w:val="center"/>
            <w:hideMark/>
          </w:tcPr>
          <w:p w14:paraId="3C8FF0B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2.971619</w:t>
            </w:r>
          </w:p>
        </w:tc>
      </w:tr>
      <w:tr w:rsidR="003A0626" w:rsidRPr="00B91524" w14:paraId="6265D35B"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6F7E407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12</w:t>
            </w:r>
          </w:p>
        </w:tc>
        <w:tc>
          <w:tcPr>
            <w:tcW w:w="343" w:type="pct"/>
            <w:tcBorders>
              <w:top w:val="nil"/>
              <w:left w:val="nil"/>
              <w:bottom w:val="single" w:sz="4" w:space="0" w:color="auto"/>
              <w:right w:val="single" w:sz="4" w:space="0" w:color="auto"/>
            </w:tcBorders>
            <w:shd w:val="clear" w:color="auto" w:fill="auto"/>
            <w:noWrap/>
            <w:vAlign w:val="center"/>
            <w:hideMark/>
          </w:tcPr>
          <w:p w14:paraId="597CFCC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8</w:t>
            </w:r>
          </w:p>
        </w:tc>
        <w:tc>
          <w:tcPr>
            <w:tcW w:w="2679" w:type="pct"/>
            <w:tcBorders>
              <w:top w:val="nil"/>
              <w:left w:val="nil"/>
              <w:bottom w:val="single" w:sz="4" w:space="0" w:color="auto"/>
              <w:right w:val="single" w:sz="4" w:space="0" w:color="auto"/>
            </w:tcBorders>
            <w:shd w:val="clear" w:color="auto" w:fill="auto"/>
            <w:noWrap/>
            <w:vAlign w:val="center"/>
            <w:hideMark/>
          </w:tcPr>
          <w:p w14:paraId="2AFB85B7"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0E458245"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1BA33ACE"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54.989911</w:t>
            </w:r>
          </w:p>
        </w:tc>
        <w:tc>
          <w:tcPr>
            <w:tcW w:w="354" w:type="pct"/>
            <w:tcBorders>
              <w:top w:val="nil"/>
              <w:left w:val="nil"/>
              <w:bottom w:val="single" w:sz="4" w:space="0" w:color="auto"/>
              <w:right w:val="single" w:sz="4" w:space="0" w:color="auto"/>
            </w:tcBorders>
            <w:shd w:val="clear" w:color="auto" w:fill="auto"/>
            <w:noWrap/>
            <w:vAlign w:val="center"/>
            <w:hideMark/>
          </w:tcPr>
          <w:p w14:paraId="6013AAF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2.675226</w:t>
            </w:r>
          </w:p>
        </w:tc>
        <w:tc>
          <w:tcPr>
            <w:tcW w:w="344" w:type="pct"/>
            <w:tcBorders>
              <w:top w:val="nil"/>
              <w:left w:val="nil"/>
              <w:bottom w:val="single" w:sz="4" w:space="0" w:color="auto"/>
              <w:right w:val="single" w:sz="4" w:space="0" w:color="auto"/>
            </w:tcBorders>
            <w:shd w:val="clear" w:color="auto" w:fill="auto"/>
            <w:noWrap/>
            <w:vAlign w:val="center"/>
            <w:hideMark/>
          </w:tcPr>
          <w:p w14:paraId="6D933739"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54.989911</w:t>
            </w:r>
          </w:p>
        </w:tc>
        <w:tc>
          <w:tcPr>
            <w:tcW w:w="358" w:type="pct"/>
            <w:tcBorders>
              <w:top w:val="nil"/>
              <w:left w:val="nil"/>
              <w:bottom w:val="single" w:sz="4" w:space="0" w:color="auto"/>
              <w:right w:val="single" w:sz="4" w:space="0" w:color="auto"/>
            </w:tcBorders>
            <w:shd w:val="clear" w:color="auto" w:fill="auto"/>
            <w:noWrap/>
            <w:vAlign w:val="center"/>
            <w:hideMark/>
          </w:tcPr>
          <w:p w14:paraId="43BA6FF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2.675226</w:t>
            </w:r>
          </w:p>
        </w:tc>
      </w:tr>
      <w:tr w:rsidR="003A0626" w:rsidRPr="00B91524" w14:paraId="279FDCB6"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776A439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13</w:t>
            </w:r>
          </w:p>
        </w:tc>
        <w:tc>
          <w:tcPr>
            <w:tcW w:w="343" w:type="pct"/>
            <w:tcBorders>
              <w:top w:val="nil"/>
              <w:left w:val="nil"/>
              <w:bottom w:val="single" w:sz="4" w:space="0" w:color="auto"/>
              <w:right w:val="single" w:sz="4" w:space="0" w:color="auto"/>
            </w:tcBorders>
            <w:shd w:val="clear" w:color="auto" w:fill="auto"/>
            <w:noWrap/>
            <w:vAlign w:val="center"/>
            <w:hideMark/>
          </w:tcPr>
          <w:p w14:paraId="42AFE98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9</w:t>
            </w:r>
          </w:p>
        </w:tc>
        <w:tc>
          <w:tcPr>
            <w:tcW w:w="2679" w:type="pct"/>
            <w:tcBorders>
              <w:top w:val="nil"/>
              <w:left w:val="nil"/>
              <w:bottom w:val="single" w:sz="4" w:space="0" w:color="auto"/>
              <w:right w:val="single" w:sz="4" w:space="0" w:color="auto"/>
            </w:tcBorders>
            <w:shd w:val="clear" w:color="auto" w:fill="auto"/>
            <w:noWrap/>
            <w:vAlign w:val="center"/>
            <w:hideMark/>
          </w:tcPr>
          <w:p w14:paraId="719E8248"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68F904BB"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34376E7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54.939433</w:t>
            </w:r>
          </w:p>
        </w:tc>
        <w:tc>
          <w:tcPr>
            <w:tcW w:w="354" w:type="pct"/>
            <w:tcBorders>
              <w:top w:val="nil"/>
              <w:left w:val="nil"/>
              <w:bottom w:val="single" w:sz="4" w:space="0" w:color="auto"/>
              <w:right w:val="single" w:sz="4" w:space="0" w:color="auto"/>
            </w:tcBorders>
            <w:shd w:val="clear" w:color="auto" w:fill="auto"/>
            <w:noWrap/>
            <w:vAlign w:val="center"/>
            <w:hideMark/>
          </w:tcPr>
          <w:p w14:paraId="4D94F690"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2.512210</w:t>
            </w:r>
          </w:p>
        </w:tc>
        <w:tc>
          <w:tcPr>
            <w:tcW w:w="344" w:type="pct"/>
            <w:tcBorders>
              <w:top w:val="nil"/>
              <w:left w:val="nil"/>
              <w:bottom w:val="single" w:sz="4" w:space="0" w:color="auto"/>
              <w:right w:val="single" w:sz="4" w:space="0" w:color="auto"/>
            </w:tcBorders>
            <w:shd w:val="clear" w:color="auto" w:fill="auto"/>
            <w:noWrap/>
            <w:vAlign w:val="center"/>
            <w:hideMark/>
          </w:tcPr>
          <w:p w14:paraId="66C3C269"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54.939433</w:t>
            </w:r>
          </w:p>
        </w:tc>
        <w:tc>
          <w:tcPr>
            <w:tcW w:w="358" w:type="pct"/>
            <w:tcBorders>
              <w:top w:val="nil"/>
              <w:left w:val="nil"/>
              <w:bottom w:val="single" w:sz="4" w:space="0" w:color="auto"/>
              <w:right w:val="single" w:sz="4" w:space="0" w:color="auto"/>
            </w:tcBorders>
            <w:shd w:val="clear" w:color="auto" w:fill="auto"/>
            <w:noWrap/>
            <w:vAlign w:val="center"/>
            <w:hideMark/>
          </w:tcPr>
          <w:p w14:paraId="7F0616A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2.512210</w:t>
            </w:r>
          </w:p>
        </w:tc>
      </w:tr>
      <w:tr w:rsidR="003A0626" w:rsidRPr="00B91524" w14:paraId="03B59ECA"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3AE2F614"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11</w:t>
            </w:r>
          </w:p>
        </w:tc>
        <w:tc>
          <w:tcPr>
            <w:tcW w:w="343" w:type="pct"/>
            <w:tcBorders>
              <w:top w:val="nil"/>
              <w:left w:val="nil"/>
              <w:bottom w:val="single" w:sz="4" w:space="0" w:color="auto"/>
              <w:right w:val="single" w:sz="4" w:space="0" w:color="auto"/>
            </w:tcBorders>
            <w:shd w:val="clear" w:color="auto" w:fill="auto"/>
            <w:noWrap/>
            <w:vAlign w:val="center"/>
            <w:hideMark/>
          </w:tcPr>
          <w:p w14:paraId="30072D71"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10</w:t>
            </w:r>
          </w:p>
        </w:tc>
        <w:tc>
          <w:tcPr>
            <w:tcW w:w="2679" w:type="pct"/>
            <w:tcBorders>
              <w:top w:val="nil"/>
              <w:left w:val="nil"/>
              <w:bottom w:val="single" w:sz="4" w:space="0" w:color="auto"/>
              <w:right w:val="single" w:sz="4" w:space="0" w:color="auto"/>
            </w:tcBorders>
            <w:shd w:val="clear" w:color="auto" w:fill="auto"/>
            <w:noWrap/>
            <w:vAlign w:val="center"/>
            <w:hideMark/>
          </w:tcPr>
          <w:p w14:paraId="1E67092A"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 xml:space="preserve">Moved  to avoid conflict with </w:t>
            </w:r>
            <w:proofErr w:type="spellStart"/>
            <w:r w:rsidRPr="00B91524">
              <w:rPr>
                <w:rFonts w:ascii="Segoe UI" w:hAnsi="Segoe UI" w:cs="Segoe UI"/>
                <w:color w:val="000000"/>
                <w:sz w:val="16"/>
                <w:szCs w:val="16"/>
                <w:lang w:eastAsia="en-GB"/>
              </w:rPr>
              <w:t>Doggerbank</w:t>
            </w:r>
            <w:proofErr w:type="spellEnd"/>
            <w:r w:rsidRPr="00B91524">
              <w:rPr>
                <w:rFonts w:ascii="Segoe UI" w:hAnsi="Segoe UI" w:cs="Segoe UI"/>
                <w:color w:val="000000"/>
                <w:sz w:val="16"/>
                <w:szCs w:val="16"/>
                <w:lang w:eastAsia="en-GB"/>
              </w:rPr>
              <w:t xml:space="preserve"> C WTG</w:t>
            </w:r>
          </w:p>
        </w:tc>
        <w:tc>
          <w:tcPr>
            <w:tcW w:w="293" w:type="pct"/>
            <w:tcBorders>
              <w:top w:val="nil"/>
              <w:left w:val="nil"/>
              <w:bottom w:val="single" w:sz="4" w:space="0" w:color="auto"/>
              <w:right w:val="single" w:sz="4" w:space="0" w:color="auto"/>
            </w:tcBorders>
            <w:shd w:val="clear" w:color="auto" w:fill="auto"/>
            <w:noWrap/>
            <w:vAlign w:val="center"/>
            <w:hideMark/>
          </w:tcPr>
          <w:p w14:paraId="71D7642D"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6F2AFCF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55.040893</w:t>
            </w:r>
          </w:p>
        </w:tc>
        <w:tc>
          <w:tcPr>
            <w:tcW w:w="354" w:type="pct"/>
            <w:tcBorders>
              <w:top w:val="nil"/>
              <w:left w:val="nil"/>
              <w:bottom w:val="single" w:sz="4" w:space="0" w:color="auto"/>
              <w:right w:val="single" w:sz="4" w:space="0" w:color="auto"/>
            </w:tcBorders>
            <w:shd w:val="clear" w:color="auto" w:fill="auto"/>
            <w:noWrap/>
            <w:vAlign w:val="center"/>
            <w:hideMark/>
          </w:tcPr>
          <w:p w14:paraId="5F37A23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2.576429</w:t>
            </w:r>
          </w:p>
        </w:tc>
        <w:tc>
          <w:tcPr>
            <w:tcW w:w="344" w:type="pct"/>
            <w:tcBorders>
              <w:top w:val="nil"/>
              <w:left w:val="nil"/>
              <w:bottom w:val="single" w:sz="4" w:space="0" w:color="auto"/>
              <w:right w:val="single" w:sz="4" w:space="0" w:color="auto"/>
            </w:tcBorders>
            <w:shd w:val="clear" w:color="auto" w:fill="auto"/>
            <w:noWrap/>
            <w:vAlign w:val="center"/>
            <w:hideMark/>
          </w:tcPr>
          <w:p w14:paraId="7456F60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55.044190</w:t>
            </w:r>
          </w:p>
        </w:tc>
        <w:tc>
          <w:tcPr>
            <w:tcW w:w="358" w:type="pct"/>
            <w:tcBorders>
              <w:top w:val="nil"/>
              <w:left w:val="nil"/>
              <w:bottom w:val="single" w:sz="4" w:space="0" w:color="auto"/>
              <w:right w:val="single" w:sz="4" w:space="0" w:color="auto"/>
            </w:tcBorders>
            <w:shd w:val="clear" w:color="auto" w:fill="auto"/>
            <w:noWrap/>
            <w:vAlign w:val="center"/>
            <w:hideMark/>
          </w:tcPr>
          <w:p w14:paraId="4728CFB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2.566094</w:t>
            </w:r>
          </w:p>
        </w:tc>
      </w:tr>
      <w:tr w:rsidR="003A0626" w:rsidRPr="00B91524" w14:paraId="43B576CA"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69994FC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03</w:t>
            </w:r>
          </w:p>
        </w:tc>
        <w:tc>
          <w:tcPr>
            <w:tcW w:w="343" w:type="pct"/>
            <w:tcBorders>
              <w:top w:val="nil"/>
              <w:left w:val="nil"/>
              <w:bottom w:val="single" w:sz="4" w:space="0" w:color="auto"/>
              <w:right w:val="single" w:sz="4" w:space="0" w:color="auto"/>
            </w:tcBorders>
            <w:shd w:val="clear" w:color="auto" w:fill="auto"/>
            <w:noWrap/>
            <w:vAlign w:val="center"/>
            <w:hideMark/>
          </w:tcPr>
          <w:p w14:paraId="3997299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11</w:t>
            </w:r>
          </w:p>
        </w:tc>
        <w:tc>
          <w:tcPr>
            <w:tcW w:w="2679" w:type="pct"/>
            <w:tcBorders>
              <w:top w:val="nil"/>
              <w:left w:val="nil"/>
              <w:bottom w:val="single" w:sz="4" w:space="0" w:color="auto"/>
              <w:right w:val="single" w:sz="4" w:space="0" w:color="auto"/>
            </w:tcBorders>
            <w:shd w:val="clear" w:color="auto" w:fill="auto"/>
            <w:noWrap/>
            <w:vAlign w:val="center"/>
            <w:hideMark/>
          </w:tcPr>
          <w:p w14:paraId="77234F95"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 xml:space="preserve">Moved 540 m East to avoid conflict with </w:t>
            </w:r>
            <w:proofErr w:type="spellStart"/>
            <w:r w:rsidRPr="00B91524">
              <w:rPr>
                <w:rFonts w:ascii="Segoe UI" w:hAnsi="Segoe UI" w:cs="Segoe UI"/>
                <w:color w:val="000000"/>
                <w:sz w:val="16"/>
                <w:szCs w:val="16"/>
                <w:lang w:eastAsia="en-GB"/>
              </w:rPr>
              <w:t>Doggerbank</w:t>
            </w:r>
            <w:proofErr w:type="spellEnd"/>
            <w:r w:rsidRPr="00B91524">
              <w:rPr>
                <w:rFonts w:ascii="Segoe UI" w:hAnsi="Segoe UI" w:cs="Segoe UI"/>
                <w:color w:val="000000"/>
                <w:sz w:val="16"/>
                <w:szCs w:val="16"/>
                <w:lang w:eastAsia="en-GB"/>
              </w:rPr>
              <w:t xml:space="preserve"> C WTG</w:t>
            </w:r>
          </w:p>
        </w:tc>
        <w:tc>
          <w:tcPr>
            <w:tcW w:w="293" w:type="pct"/>
            <w:tcBorders>
              <w:top w:val="nil"/>
              <w:left w:val="nil"/>
              <w:bottom w:val="single" w:sz="4" w:space="0" w:color="auto"/>
              <w:right w:val="single" w:sz="4" w:space="0" w:color="auto"/>
            </w:tcBorders>
            <w:shd w:val="clear" w:color="auto" w:fill="auto"/>
            <w:noWrap/>
            <w:vAlign w:val="center"/>
            <w:hideMark/>
          </w:tcPr>
          <w:p w14:paraId="20B0FD25"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40EC2B3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55.032967</w:t>
            </w:r>
          </w:p>
        </w:tc>
        <w:tc>
          <w:tcPr>
            <w:tcW w:w="354" w:type="pct"/>
            <w:tcBorders>
              <w:top w:val="nil"/>
              <w:left w:val="nil"/>
              <w:bottom w:val="single" w:sz="4" w:space="0" w:color="auto"/>
              <w:right w:val="single" w:sz="4" w:space="0" w:color="auto"/>
            </w:tcBorders>
            <w:shd w:val="clear" w:color="auto" w:fill="auto"/>
            <w:noWrap/>
            <w:vAlign w:val="center"/>
            <w:hideMark/>
          </w:tcPr>
          <w:p w14:paraId="3F42AE5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3.063501</w:t>
            </w:r>
          </w:p>
        </w:tc>
        <w:tc>
          <w:tcPr>
            <w:tcW w:w="344" w:type="pct"/>
            <w:tcBorders>
              <w:top w:val="nil"/>
              <w:left w:val="nil"/>
              <w:bottom w:val="single" w:sz="4" w:space="0" w:color="auto"/>
              <w:right w:val="single" w:sz="4" w:space="0" w:color="auto"/>
            </w:tcBorders>
            <w:shd w:val="clear" w:color="auto" w:fill="auto"/>
            <w:noWrap/>
            <w:vAlign w:val="center"/>
            <w:hideMark/>
          </w:tcPr>
          <w:p w14:paraId="7C27969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55.033070</w:t>
            </w:r>
          </w:p>
        </w:tc>
        <w:tc>
          <w:tcPr>
            <w:tcW w:w="358" w:type="pct"/>
            <w:tcBorders>
              <w:top w:val="nil"/>
              <w:left w:val="nil"/>
              <w:bottom w:val="single" w:sz="4" w:space="0" w:color="auto"/>
              <w:right w:val="single" w:sz="4" w:space="0" w:color="auto"/>
            </w:tcBorders>
            <w:shd w:val="clear" w:color="auto" w:fill="auto"/>
            <w:noWrap/>
            <w:vAlign w:val="center"/>
            <w:hideMark/>
          </w:tcPr>
          <w:p w14:paraId="15C8641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3.071954</w:t>
            </w:r>
          </w:p>
        </w:tc>
      </w:tr>
      <w:tr w:rsidR="003A0626" w:rsidRPr="00B91524" w14:paraId="5113CEBD"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239AFD7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08</w:t>
            </w:r>
          </w:p>
        </w:tc>
        <w:tc>
          <w:tcPr>
            <w:tcW w:w="343" w:type="pct"/>
            <w:tcBorders>
              <w:top w:val="nil"/>
              <w:left w:val="nil"/>
              <w:bottom w:val="single" w:sz="4" w:space="0" w:color="auto"/>
              <w:right w:val="single" w:sz="4" w:space="0" w:color="auto"/>
            </w:tcBorders>
            <w:shd w:val="clear" w:color="auto" w:fill="auto"/>
            <w:noWrap/>
            <w:vAlign w:val="center"/>
            <w:hideMark/>
          </w:tcPr>
          <w:p w14:paraId="0BF9E4F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12</w:t>
            </w:r>
          </w:p>
        </w:tc>
        <w:tc>
          <w:tcPr>
            <w:tcW w:w="2679" w:type="pct"/>
            <w:tcBorders>
              <w:top w:val="nil"/>
              <w:left w:val="nil"/>
              <w:bottom w:val="single" w:sz="4" w:space="0" w:color="auto"/>
              <w:right w:val="single" w:sz="4" w:space="0" w:color="auto"/>
            </w:tcBorders>
            <w:shd w:val="clear" w:color="auto" w:fill="auto"/>
            <w:noWrap/>
            <w:vAlign w:val="center"/>
            <w:hideMark/>
          </w:tcPr>
          <w:p w14:paraId="0CD2B14E"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 xml:space="preserve">Moved 1162 m NW to avoid conflict with </w:t>
            </w:r>
            <w:proofErr w:type="spellStart"/>
            <w:r w:rsidRPr="00B91524">
              <w:rPr>
                <w:rFonts w:ascii="Segoe UI" w:hAnsi="Segoe UI" w:cs="Segoe UI"/>
                <w:color w:val="000000"/>
                <w:sz w:val="16"/>
                <w:szCs w:val="16"/>
                <w:lang w:eastAsia="en-GB"/>
              </w:rPr>
              <w:t>Doggerbank</w:t>
            </w:r>
            <w:proofErr w:type="spellEnd"/>
            <w:r w:rsidRPr="00B91524">
              <w:rPr>
                <w:rFonts w:ascii="Segoe UI" w:hAnsi="Segoe UI" w:cs="Segoe UI"/>
                <w:color w:val="000000"/>
                <w:sz w:val="16"/>
                <w:szCs w:val="16"/>
                <w:lang w:eastAsia="en-GB"/>
              </w:rPr>
              <w:t xml:space="preserve"> C WTG</w:t>
            </w:r>
          </w:p>
        </w:tc>
        <w:tc>
          <w:tcPr>
            <w:tcW w:w="293" w:type="pct"/>
            <w:tcBorders>
              <w:top w:val="nil"/>
              <w:left w:val="nil"/>
              <w:bottom w:val="single" w:sz="4" w:space="0" w:color="auto"/>
              <w:right w:val="single" w:sz="4" w:space="0" w:color="auto"/>
            </w:tcBorders>
            <w:shd w:val="clear" w:color="auto" w:fill="auto"/>
            <w:noWrap/>
            <w:vAlign w:val="center"/>
            <w:hideMark/>
          </w:tcPr>
          <w:p w14:paraId="09E8A653"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3D417F5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55.117809</w:t>
            </w:r>
          </w:p>
        </w:tc>
        <w:tc>
          <w:tcPr>
            <w:tcW w:w="354" w:type="pct"/>
            <w:tcBorders>
              <w:top w:val="nil"/>
              <w:left w:val="nil"/>
              <w:bottom w:val="single" w:sz="4" w:space="0" w:color="auto"/>
              <w:right w:val="single" w:sz="4" w:space="0" w:color="auto"/>
            </w:tcBorders>
            <w:shd w:val="clear" w:color="auto" w:fill="auto"/>
            <w:noWrap/>
            <w:vAlign w:val="center"/>
            <w:hideMark/>
          </w:tcPr>
          <w:p w14:paraId="14BF077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2.829350</w:t>
            </w:r>
          </w:p>
        </w:tc>
        <w:tc>
          <w:tcPr>
            <w:tcW w:w="344" w:type="pct"/>
            <w:tcBorders>
              <w:top w:val="nil"/>
              <w:left w:val="nil"/>
              <w:bottom w:val="single" w:sz="4" w:space="0" w:color="auto"/>
              <w:right w:val="single" w:sz="4" w:space="0" w:color="auto"/>
            </w:tcBorders>
            <w:shd w:val="clear" w:color="auto" w:fill="auto"/>
            <w:noWrap/>
            <w:vAlign w:val="center"/>
            <w:hideMark/>
          </w:tcPr>
          <w:p w14:paraId="7F8F534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55.126301</w:t>
            </w:r>
          </w:p>
        </w:tc>
        <w:tc>
          <w:tcPr>
            <w:tcW w:w="358" w:type="pct"/>
            <w:tcBorders>
              <w:top w:val="nil"/>
              <w:left w:val="nil"/>
              <w:bottom w:val="single" w:sz="4" w:space="0" w:color="auto"/>
              <w:right w:val="single" w:sz="4" w:space="0" w:color="auto"/>
            </w:tcBorders>
            <w:shd w:val="clear" w:color="auto" w:fill="auto"/>
            <w:noWrap/>
            <w:vAlign w:val="center"/>
            <w:hideMark/>
          </w:tcPr>
          <w:p w14:paraId="387A90D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2.818728</w:t>
            </w:r>
          </w:p>
        </w:tc>
      </w:tr>
      <w:tr w:rsidR="003A0626" w:rsidRPr="00B91524" w14:paraId="31635A4B"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7FEF16C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06</w:t>
            </w:r>
          </w:p>
        </w:tc>
        <w:tc>
          <w:tcPr>
            <w:tcW w:w="343" w:type="pct"/>
            <w:tcBorders>
              <w:top w:val="nil"/>
              <w:left w:val="nil"/>
              <w:bottom w:val="single" w:sz="4" w:space="0" w:color="auto"/>
              <w:right w:val="single" w:sz="4" w:space="0" w:color="auto"/>
            </w:tcBorders>
            <w:shd w:val="clear" w:color="auto" w:fill="auto"/>
            <w:noWrap/>
            <w:vAlign w:val="center"/>
            <w:hideMark/>
          </w:tcPr>
          <w:p w14:paraId="124AB721"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13</w:t>
            </w:r>
          </w:p>
        </w:tc>
        <w:tc>
          <w:tcPr>
            <w:tcW w:w="2679" w:type="pct"/>
            <w:tcBorders>
              <w:top w:val="nil"/>
              <w:left w:val="nil"/>
              <w:bottom w:val="single" w:sz="4" w:space="0" w:color="auto"/>
              <w:right w:val="single" w:sz="4" w:space="0" w:color="auto"/>
            </w:tcBorders>
            <w:shd w:val="clear" w:color="auto" w:fill="auto"/>
            <w:noWrap/>
            <w:vAlign w:val="center"/>
            <w:hideMark/>
          </w:tcPr>
          <w:p w14:paraId="57601BD1"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 xml:space="preserve">Moved 770 m South to avoid conflict with </w:t>
            </w:r>
            <w:proofErr w:type="spellStart"/>
            <w:r w:rsidRPr="00B91524">
              <w:rPr>
                <w:rFonts w:ascii="Segoe UI" w:hAnsi="Segoe UI" w:cs="Segoe UI"/>
                <w:color w:val="000000"/>
                <w:sz w:val="16"/>
                <w:szCs w:val="16"/>
                <w:lang w:eastAsia="en-GB"/>
              </w:rPr>
              <w:t>Doggerbank</w:t>
            </w:r>
            <w:proofErr w:type="spellEnd"/>
            <w:r w:rsidRPr="00B91524">
              <w:rPr>
                <w:rFonts w:ascii="Segoe UI" w:hAnsi="Segoe UI" w:cs="Segoe UI"/>
                <w:color w:val="000000"/>
                <w:sz w:val="16"/>
                <w:szCs w:val="16"/>
                <w:lang w:eastAsia="en-GB"/>
              </w:rPr>
              <w:t xml:space="preserve"> C WTG</w:t>
            </w:r>
          </w:p>
        </w:tc>
        <w:tc>
          <w:tcPr>
            <w:tcW w:w="293" w:type="pct"/>
            <w:tcBorders>
              <w:top w:val="nil"/>
              <w:left w:val="nil"/>
              <w:bottom w:val="single" w:sz="4" w:space="0" w:color="auto"/>
              <w:right w:val="single" w:sz="4" w:space="0" w:color="auto"/>
            </w:tcBorders>
            <w:shd w:val="clear" w:color="auto" w:fill="auto"/>
            <w:noWrap/>
            <w:vAlign w:val="center"/>
            <w:hideMark/>
          </w:tcPr>
          <w:p w14:paraId="1D180EEC"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3F01401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54.957022</w:t>
            </w:r>
          </w:p>
        </w:tc>
        <w:tc>
          <w:tcPr>
            <w:tcW w:w="354" w:type="pct"/>
            <w:tcBorders>
              <w:top w:val="nil"/>
              <w:left w:val="nil"/>
              <w:bottom w:val="single" w:sz="4" w:space="0" w:color="auto"/>
              <w:right w:val="single" w:sz="4" w:space="0" w:color="auto"/>
            </w:tcBorders>
            <w:shd w:val="clear" w:color="auto" w:fill="auto"/>
            <w:noWrap/>
            <w:vAlign w:val="center"/>
            <w:hideMark/>
          </w:tcPr>
          <w:p w14:paraId="2E04695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2.805639</w:t>
            </w:r>
          </w:p>
        </w:tc>
        <w:tc>
          <w:tcPr>
            <w:tcW w:w="344" w:type="pct"/>
            <w:tcBorders>
              <w:top w:val="nil"/>
              <w:left w:val="nil"/>
              <w:bottom w:val="single" w:sz="4" w:space="0" w:color="auto"/>
              <w:right w:val="single" w:sz="4" w:space="0" w:color="auto"/>
            </w:tcBorders>
            <w:shd w:val="clear" w:color="auto" w:fill="auto"/>
            <w:noWrap/>
            <w:vAlign w:val="center"/>
            <w:hideMark/>
          </w:tcPr>
          <w:p w14:paraId="7A4A87F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54.950098</w:t>
            </w:r>
          </w:p>
        </w:tc>
        <w:tc>
          <w:tcPr>
            <w:tcW w:w="358" w:type="pct"/>
            <w:tcBorders>
              <w:top w:val="nil"/>
              <w:left w:val="nil"/>
              <w:bottom w:val="single" w:sz="4" w:space="0" w:color="auto"/>
              <w:right w:val="single" w:sz="4" w:space="0" w:color="auto"/>
            </w:tcBorders>
            <w:shd w:val="clear" w:color="auto" w:fill="auto"/>
            <w:noWrap/>
            <w:vAlign w:val="center"/>
            <w:hideMark/>
          </w:tcPr>
          <w:p w14:paraId="184F32F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2.805765</w:t>
            </w:r>
          </w:p>
        </w:tc>
      </w:tr>
      <w:tr w:rsidR="003A0626" w:rsidRPr="00B91524" w14:paraId="45405B30"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4B8BAEE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17</w:t>
            </w:r>
          </w:p>
        </w:tc>
        <w:tc>
          <w:tcPr>
            <w:tcW w:w="343" w:type="pct"/>
            <w:tcBorders>
              <w:top w:val="nil"/>
              <w:left w:val="nil"/>
              <w:bottom w:val="single" w:sz="4" w:space="0" w:color="auto"/>
              <w:right w:val="single" w:sz="4" w:space="0" w:color="auto"/>
            </w:tcBorders>
            <w:shd w:val="clear" w:color="auto" w:fill="auto"/>
            <w:noWrap/>
            <w:vAlign w:val="center"/>
            <w:hideMark/>
          </w:tcPr>
          <w:p w14:paraId="48C2EFC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14</w:t>
            </w:r>
          </w:p>
        </w:tc>
        <w:tc>
          <w:tcPr>
            <w:tcW w:w="2679" w:type="pct"/>
            <w:tcBorders>
              <w:top w:val="nil"/>
              <w:left w:val="nil"/>
              <w:bottom w:val="single" w:sz="4" w:space="0" w:color="auto"/>
              <w:right w:val="single" w:sz="4" w:space="0" w:color="auto"/>
            </w:tcBorders>
            <w:shd w:val="clear" w:color="auto" w:fill="auto"/>
            <w:noWrap/>
            <w:vAlign w:val="center"/>
            <w:hideMark/>
          </w:tcPr>
          <w:p w14:paraId="7976514D"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4B1A0244"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3FD5B7F4"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55.172578</w:t>
            </w:r>
          </w:p>
        </w:tc>
        <w:tc>
          <w:tcPr>
            <w:tcW w:w="354" w:type="pct"/>
            <w:tcBorders>
              <w:top w:val="nil"/>
              <w:left w:val="nil"/>
              <w:bottom w:val="single" w:sz="4" w:space="0" w:color="auto"/>
              <w:right w:val="single" w:sz="4" w:space="0" w:color="auto"/>
            </w:tcBorders>
            <w:shd w:val="clear" w:color="auto" w:fill="auto"/>
            <w:noWrap/>
            <w:vAlign w:val="center"/>
            <w:hideMark/>
          </w:tcPr>
          <w:p w14:paraId="04FEEFE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2.167407</w:t>
            </w:r>
          </w:p>
        </w:tc>
        <w:tc>
          <w:tcPr>
            <w:tcW w:w="344" w:type="pct"/>
            <w:tcBorders>
              <w:top w:val="nil"/>
              <w:left w:val="nil"/>
              <w:bottom w:val="single" w:sz="4" w:space="0" w:color="auto"/>
              <w:right w:val="single" w:sz="4" w:space="0" w:color="auto"/>
            </w:tcBorders>
            <w:shd w:val="clear" w:color="auto" w:fill="auto"/>
            <w:noWrap/>
            <w:vAlign w:val="center"/>
            <w:hideMark/>
          </w:tcPr>
          <w:p w14:paraId="4345FF61"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55.172578</w:t>
            </w:r>
          </w:p>
        </w:tc>
        <w:tc>
          <w:tcPr>
            <w:tcW w:w="358" w:type="pct"/>
            <w:tcBorders>
              <w:top w:val="nil"/>
              <w:left w:val="nil"/>
              <w:bottom w:val="single" w:sz="4" w:space="0" w:color="auto"/>
              <w:right w:val="single" w:sz="4" w:space="0" w:color="auto"/>
            </w:tcBorders>
            <w:shd w:val="clear" w:color="auto" w:fill="auto"/>
            <w:noWrap/>
            <w:vAlign w:val="center"/>
            <w:hideMark/>
          </w:tcPr>
          <w:p w14:paraId="6F63083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2.167407</w:t>
            </w:r>
          </w:p>
        </w:tc>
      </w:tr>
      <w:tr w:rsidR="003A0626" w:rsidRPr="00B91524" w14:paraId="7C13C003"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50F7157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18</w:t>
            </w:r>
          </w:p>
        </w:tc>
        <w:tc>
          <w:tcPr>
            <w:tcW w:w="343" w:type="pct"/>
            <w:tcBorders>
              <w:top w:val="nil"/>
              <w:left w:val="nil"/>
              <w:bottom w:val="single" w:sz="4" w:space="0" w:color="auto"/>
              <w:right w:val="single" w:sz="4" w:space="0" w:color="auto"/>
            </w:tcBorders>
            <w:shd w:val="clear" w:color="auto" w:fill="auto"/>
            <w:noWrap/>
            <w:vAlign w:val="center"/>
            <w:hideMark/>
          </w:tcPr>
          <w:p w14:paraId="31FFEFBE"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15</w:t>
            </w:r>
          </w:p>
        </w:tc>
        <w:tc>
          <w:tcPr>
            <w:tcW w:w="2679" w:type="pct"/>
            <w:tcBorders>
              <w:top w:val="nil"/>
              <w:left w:val="nil"/>
              <w:bottom w:val="single" w:sz="4" w:space="0" w:color="auto"/>
              <w:right w:val="single" w:sz="4" w:space="0" w:color="auto"/>
            </w:tcBorders>
            <w:shd w:val="clear" w:color="auto" w:fill="auto"/>
            <w:noWrap/>
            <w:vAlign w:val="center"/>
            <w:hideMark/>
          </w:tcPr>
          <w:p w14:paraId="429D209E"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Moved 1179 m SW to avoid conflict with Sofia IAC and WTG</w:t>
            </w:r>
          </w:p>
        </w:tc>
        <w:tc>
          <w:tcPr>
            <w:tcW w:w="293" w:type="pct"/>
            <w:tcBorders>
              <w:top w:val="nil"/>
              <w:left w:val="nil"/>
              <w:bottom w:val="single" w:sz="4" w:space="0" w:color="auto"/>
              <w:right w:val="single" w:sz="4" w:space="0" w:color="auto"/>
            </w:tcBorders>
            <w:shd w:val="clear" w:color="auto" w:fill="auto"/>
            <w:noWrap/>
            <w:vAlign w:val="center"/>
            <w:hideMark/>
          </w:tcPr>
          <w:p w14:paraId="20F92A03"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11CD7C0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55.065228</w:t>
            </w:r>
          </w:p>
        </w:tc>
        <w:tc>
          <w:tcPr>
            <w:tcW w:w="354" w:type="pct"/>
            <w:tcBorders>
              <w:top w:val="nil"/>
              <w:left w:val="nil"/>
              <w:bottom w:val="single" w:sz="4" w:space="0" w:color="auto"/>
              <w:right w:val="single" w:sz="4" w:space="0" w:color="auto"/>
            </w:tcBorders>
            <w:shd w:val="clear" w:color="auto" w:fill="auto"/>
            <w:noWrap/>
            <w:vAlign w:val="center"/>
            <w:hideMark/>
          </w:tcPr>
          <w:p w14:paraId="131CB2B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2.196058</w:t>
            </w:r>
          </w:p>
        </w:tc>
        <w:tc>
          <w:tcPr>
            <w:tcW w:w="344" w:type="pct"/>
            <w:tcBorders>
              <w:top w:val="nil"/>
              <w:left w:val="nil"/>
              <w:bottom w:val="single" w:sz="4" w:space="0" w:color="auto"/>
              <w:right w:val="single" w:sz="4" w:space="0" w:color="auto"/>
            </w:tcBorders>
            <w:shd w:val="clear" w:color="auto" w:fill="auto"/>
            <w:noWrap/>
            <w:vAlign w:val="center"/>
            <w:hideMark/>
          </w:tcPr>
          <w:p w14:paraId="4F013F4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55.055203</w:t>
            </w:r>
          </w:p>
        </w:tc>
        <w:tc>
          <w:tcPr>
            <w:tcW w:w="358" w:type="pct"/>
            <w:tcBorders>
              <w:top w:val="nil"/>
              <w:left w:val="nil"/>
              <w:bottom w:val="single" w:sz="4" w:space="0" w:color="auto"/>
              <w:right w:val="single" w:sz="4" w:space="0" w:color="auto"/>
            </w:tcBorders>
            <w:shd w:val="clear" w:color="auto" w:fill="auto"/>
            <w:noWrap/>
            <w:vAlign w:val="center"/>
            <w:hideMark/>
          </w:tcPr>
          <w:p w14:paraId="7DE6032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2.190078</w:t>
            </w:r>
          </w:p>
        </w:tc>
      </w:tr>
      <w:tr w:rsidR="003A0626" w:rsidRPr="00B91524" w14:paraId="5C61D9B7"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1CBA32F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19</w:t>
            </w:r>
          </w:p>
        </w:tc>
        <w:tc>
          <w:tcPr>
            <w:tcW w:w="343" w:type="pct"/>
            <w:tcBorders>
              <w:top w:val="nil"/>
              <w:left w:val="nil"/>
              <w:bottom w:val="single" w:sz="4" w:space="0" w:color="auto"/>
              <w:right w:val="single" w:sz="4" w:space="0" w:color="auto"/>
            </w:tcBorders>
            <w:shd w:val="clear" w:color="auto" w:fill="auto"/>
            <w:noWrap/>
            <w:vAlign w:val="center"/>
            <w:hideMark/>
          </w:tcPr>
          <w:p w14:paraId="2E43168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16</w:t>
            </w:r>
          </w:p>
        </w:tc>
        <w:tc>
          <w:tcPr>
            <w:tcW w:w="2679" w:type="pct"/>
            <w:tcBorders>
              <w:top w:val="nil"/>
              <w:left w:val="nil"/>
              <w:bottom w:val="single" w:sz="4" w:space="0" w:color="auto"/>
              <w:right w:val="single" w:sz="4" w:space="0" w:color="auto"/>
            </w:tcBorders>
            <w:shd w:val="clear" w:color="auto" w:fill="auto"/>
            <w:noWrap/>
            <w:vAlign w:val="center"/>
            <w:hideMark/>
          </w:tcPr>
          <w:p w14:paraId="5EC36A11"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Moved 898 m SW to avoid conflict with Sofia IAC and archaeological features</w:t>
            </w:r>
          </w:p>
        </w:tc>
        <w:tc>
          <w:tcPr>
            <w:tcW w:w="293" w:type="pct"/>
            <w:tcBorders>
              <w:top w:val="nil"/>
              <w:left w:val="nil"/>
              <w:bottom w:val="single" w:sz="4" w:space="0" w:color="auto"/>
              <w:right w:val="single" w:sz="4" w:space="0" w:color="auto"/>
            </w:tcBorders>
            <w:shd w:val="clear" w:color="auto" w:fill="auto"/>
            <w:noWrap/>
            <w:vAlign w:val="center"/>
            <w:hideMark/>
          </w:tcPr>
          <w:p w14:paraId="09C8FD26"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7EA44EA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54.996146</w:t>
            </w:r>
          </w:p>
        </w:tc>
        <w:tc>
          <w:tcPr>
            <w:tcW w:w="354" w:type="pct"/>
            <w:tcBorders>
              <w:top w:val="nil"/>
              <w:left w:val="nil"/>
              <w:bottom w:val="single" w:sz="4" w:space="0" w:color="auto"/>
              <w:right w:val="single" w:sz="4" w:space="0" w:color="auto"/>
            </w:tcBorders>
            <w:shd w:val="clear" w:color="auto" w:fill="auto"/>
            <w:noWrap/>
            <w:vAlign w:val="center"/>
            <w:hideMark/>
          </w:tcPr>
          <w:p w14:paraId="006A5130"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2.223721</w:t>
            </w:r>
          </w:p>
        </w:tc>
        <w:tc>
          <w:tcPr>
            <w:tcW w:w="344" w:type="pct"/>
            <w:tcBorders>
              <w:top w:val="nil"/>
              <w:left w:val="nil"/>
              <w:bottom w:val="single" w:sz="4" w:space="0" w:color="auto"/>
              <w:right w:val="single" w:sz="4" w:space="0" w:color="auto"/>
            </w:tcBorders>
            <w:shd w:val="clear" w:color="auto" w:fill="auto"/>
            <w:noWrap/>
            <w:vAlign w:val="center"/>
            <w:hideMark/>
          </w:tcPr>
          <w:p w14:paraId="09B93CF0"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54.990655</w:t>
            </w:r>
          </w:p>
        </w:tc>
        <w:tc>
          <w:tcPr>
            <w:tcW w:w="358" w:type="pct"/>
            <w:tcBorders>
              <w:top w:val="nil"/>
              <w:left w:val="nil"/>
              <w:bottom w:val="single" w:sz="4" w:space="0" w:color="auto"/>
              <w:right w:val="single" w:sz="4" w:space="0" w:color="auto"/>
            </w:tcBorders>
            <w:shd w:val="clear" w:color="auto" w:fill="auto"/>
            <w:noWrap/>
            <w:vAlign w:val="center"/>
            <w:hideMark/>
          </w:tcPr>
          <w:p w14:paraId="226373E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2.213432</w:t>
            </w:r>
          </w:p>
        </w:tc>
      </w:tr>
      <w:tr w:rsidR="003A0626" w:rsidRPr="00B91524" w14:paraId="0C59BBDA"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30EA288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20</w:t>
            </w:r>
          </w:p>
        </w:tc>
        <w:tc>
          <w:tcPr>
            <w:tcW w:w="343" w:type="pct"/>
            <w:tcBorders>
              <w:top w:val="nil"/>
              <w:left w:val="nil"/>
              <w:bottom w:val="single" w:sz="4" w:space="0" w:color="auto"/>
              <w:right w:val="single" w:sz="4" w:space="0" w:color="auto"/>
            </w:tcBorders>
            <w:shd w:val="clear" w:color="auto" w:fill="auto"/>
            <w:noWrap/>
            <w:vAlign w:val="center"/>
            <w:hideMark/>
          </w:tcPr>
          <w:p w14:paraId="22224399"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17</w:t>
            </w:r>
          </w:p>
        </w:tc>
        <w:tc>
          <w:tcPr>
            <w:tcW w:w="2679" w:type="pct"/>
            <w:tcBorders>
              <w:top w:val="nil"/>
              <w:left w:val="nil"/>
              <w:bottom w:val="single" w:sz="4" w:space="0" w:color="auto"/>
              <w:right w:val="single" w:sz="4" w:space="0" w:color="auto"/>
            </w:tcBorders>
            <w:shd w:val="clear" w:color="auto" w:fill="auto"/>
            <w:noWrap/>
            <w:vAlign w:val="center"/>
            <w:hideMark/>
          </w:tcPr>
          <w:p w14:paraId="17881C07"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Moved 1427 m South to avoid conflict with Sofia IAC and archaeological features</w:t>
            </w:r>
          </w:p>
        </w:tc>
        <w:tc>
          <w:tcPr>
            <w:tcW w:w="293" w:type="pct"/>
            <w:tcBorders>
              <w:top w:val="nil"/>
              <w:left w:val="nil"/>
              <w:bottom w:val="single" w:sz="4" w:space="0" w:color="auto"/>
              <w:right w:val="single" w:sz="4" w:space="0" w:color="auto"/>
            </w:tcBorders>
            <w:shd w:val="clear" w:color="auto" w:fill="auto"/>
            <w:noWrap/>
            <w:vAlign w:val="center"/>
            <w:hideMark/>
          </w:tcPr>
          <w:p w14:paraId="5BA7EB0B"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53F0EF2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54.915589</w:t>
            </w:r>
          </w:p>
        </w:tc>
        <w:tc>
          <w:tcPr>
            <w:tcW w:w="354" w:type="pct"/>
            <w:tcBorders>
              <w:top w:val="nil"/>
              <w:left w:val="nil"/>
              <w:bottom w:val="single" w:sz="4" w:space="0" w:color="auto"/>
              <w:right w:val="single" w:sz="4" w:space="0" w:color="auto"/>
            </w:tcBorders>
            <w:shd w:val="clear" w:color="auto" w:fill="auto"/>
            <w:noWrap/>
            <w:vAlign w:val="center"/>
            <w:hideMark/>
          </w:tcPr>
          <w:p w14:paraId="5D142D3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2.253360</w:t>
            </w:r>
          </w:p>
        </w:tc>
        <w:tc>
          <w:tcPr>
            <w:tcW w:w="344" w:type="pct"/>
            <w:tcBorders>
              <w:top w:val="nil"/>
              <w:left w:val="nil"/>
              <w:bottom w:val="single" w:sz="4" w:space="0" w:color="auto"/>
              <w:right w:val="single" w:sz="4" w:space="0" w:color="auto"/>
            </w:tcBorders>
            <w:shd w:val="clear" w:color="auto" w:fill="auto"/>
            <w:noWrap/>
            <w:vAlign w:val="center"/>
            <w:hideMark/>
          </w:tcPr>
          <w:p w14:paraId="6A17AD0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54.903096</w:t>
            </w:r>
          </w:p>
        </w:tc>
        <w:tc>
          <w:tcPr>
            <w:tcW w:w="358" w:type="pct"/>
            <w:tcBorders>
              <w:top w:val="nil"/>
              <w:left w:val="nil"/>
              <w:bottom w:val="single" w:sz="4" w:space="0" w:color="auto"/>
              <w:right w:val="single" w:sz="4" w:space="0" w:color="auto"/>
            </w:tcBorders>
            <w:shd w:val="clear" w:color="auto" w:fill="auto"/>
            <w:noWrap/>
            <w:vAlign w:val="center"/>
            <w:hideMark/>
          </w:tcPr>
          <w:p w14:paraId="295711F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2.248331</w:t>
            </w:r>
          </w:p>
        </w:tc>
      </w:tr>
      <w:tr w:rsidR="003A0626" w:rsidRPr="00B91524" w14:paraId="6110FAC9"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698862B9"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45</w:t>
            </w:r>
          </w:p>
        </w:tc>
        <w:tc>
          <w:tcPr>
            <w:tcW w:w="343" w:type="pct"/>
            <w:tcBorders>
              <w:top w:val="nil"/>
              <w:left w:val="nil"/>
              <w:bottom w:val="single" w:sz="4" w:space="0" w:color="auto"/>
              <w:right w:val="single" w:sz="4" w:space="0" w:color="auto"/>
            </w:tcBorders>
            <w:shd w:val="clear" w:color="auto" w:fill="auto"/>
            <w:noWrap/>
            <w:vAlign w:val="center"/>
            <w:hideMark/>
          </w:tcPr>
          <w:p w14:paraId="30404CD1"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18</w:t>
            </w:r>
          </w:p>
        </w:tc>
        <w:tc>
          <w:tcPr>
            <w:tcW w:w="2679" w:type="pct"/>
            <w:tcBorders>
              <w:top w:val="nil"/>
              <w:left w:val="nil"/>
              <w:bottom w:val="single" w:sz="4" w:space="0" w:color="auto"/>
              <w:right w:val="single" w:sz="4" w:space="0" w:color="auto"/>
            </w:tcBorders>
            <w:shd w:val="clear" w:color="auto" w:fill="auto"/>
            <w:noWrap/>
            <w:vAlign w:val="center"/>
            <w:hideMark/>
          </w:tcPr>
          <w:p w14:paraId="2DCFC033"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160D28F1"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11E852D0"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54.794451</w:t>
            </w:r>
          </w:p>
        </w:tc>
        <w:tc>
          <w:tcPr>
            <w:tcW w:w="354" w:type="pct"/>
            <w:tcBorders>
              <w:top w:val="nil"/>
              <w:left w:val="nil"/>
              <w:bottom w:val="single" w:sz="4" w:space="0" w:color="auto"/>
              <w:right w:val="single" w:sz="4" w:space="0" w:color="auto"/>
            </w:tcBorders>
            <w:shd w:val="clear" w:color="auto" w:fill="auto"/>
            <w:noWrap/>
            <w:vAlign w:val="center"/>
            <w:hideMark/>
          </w:tcPr>
          <w:p w14:paraId="18BD9DF4"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2.283988</w:t>
            </w:r>
          </w:p>
        </w:tc>
        <w:tc>
          <w:tcPr>
            <w:tcW w:w="344" w:type="pct"/>
            <w:tcBorders>
              <w:top w:val="nil"/>
              <w:left w:val="nil"/>
              <w:bottom w:val="single" w:sz="4" w:space="0" w:color="auto"/>
              <w:right w:val="single" w:sz="4" w:space="0" w:color="auto"/>
            </w:tcBorders>
            <w:shd w:val="clear" w:color="auto" w:fill="auto"/>
            <w:noWrap/>
            <w:vAlign w:val="center"/>
            <w:hideMark/>
          </w:tcPr>
          <w:p w14:paraId="3D61497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54.794451</w:t>
            </w:r>
          </w:p>
        </w:tc>
        <w:tc>
          <w:tcPr>
            <w:tcW w:w="358" w:type="pct"/>
            <w:tcBorders>
              <w:top w:val="nil"/>
              <w:left w:val="nil"/>
              <w:bottom w:val="single" w:sz="4" w:space="0" w:color="auto"/>
              <w:right w:val="single" w:sz="4" w:space="0" w:color="auto"/>
            </w:tcBorders>
            <w:shd w:val="clear" w:color="auto" w:fill="auto"/>
            <w:noWrap/>
            <w:vAlign w:val="center"/>
            <w:hideMark/>
          </w:tcPr>
          <w:p w14:paraId="584B6FE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2.283988</w:t>
            </w:r>
          </w:p>
        </w:tc>
      </w:tr>
      <w:tr w:rsidR="003A0626" w:rsidRPr="00B91524" w14:paraId="4EE58224"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6371D340"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23</w:t>
            </w:r>
          </w:p>
        </w:tc>
        <w:tc>
          <w:tcPr>
            <w:tcW w:w="343" w:type="pct"/>
            <w:tcBorders>
              <w:top w:val="nil"/>
              <w:left w:val="nil"/>
              <w:bottom w:val="single" w:sz="4" w:space="0" w:color="auto"/>
              <w:right w:val="single" w:sz="4" w:space="0" w:color="auto"/>
            </w:tcBorders>
            <w:shd w:val="clear" w:color="auto" w:fill="auto"/>
            <w:noWrap/>
            <w:vAlign w:val="center"/>
            <w:hideMark/>
          </w:tcPr>
          <w:p w14:paraId="20C21D1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19</w:t>
            </w:r>
          </w:p>
        </w:tc>
        <w:tc>
          <w:tcPr>
            <w:tcW w:w="2679" w:type="pct"/>
            <w:tcBorders>
              <w:top w:val="nil"/>
              <w:left w:val="nil"/>
              <w:bottom w:val="single" w:sz="4" w:space="0" w:color="auto"/>
              <w:right w:val="single" w:sz="4" w:space="0" w:color="auto"/>
            </w:tcBorders>
            <w:shd w:val="clear" w:color="auto" w:fill="auto"/>
            <w:noWrap/>
            <w:vAlign w:val="center"/>
            <w:hideMark/>
          </w:tcPr>
          <w:p w14:paraId="51E3935D"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Moved 331 m SE to avoid conflict with Sofia IAC and archaeological features</w:t>
            </w:r>
          </w:p>
        </w:tc>
        <w:tc>
          <w:tcPr>
            <w:tcW w:w="293" w:type="pct"/>
            <w:tcBorders>
              <w:top w:val="nil"/>
              <w:left w:val="nil"/>
              <w:bottom w:val="single" w:sz="4" w:space="0" w:color="auto"/>
              <w:right w:val="single" w:sz="4" w:space="0" w:color="auto"/>
            </w:tcBorders>
            <w:shd w:val="clear" w:color="auto" w:fill="auto"/>
            <w:noWrap/>
            <w:vAlign w:val="center"/>
            <w:hideMark/>
          </w:tcPr>
          <w:p w14:paraId="2299289C"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68B7A9A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55.001813</w:t>
            </w:r>
          </w:p>
        </w:tc>
        <w:tc>
          <w:tcPr>
            <w:tcW w:w="354" w:type="pct"/>
            <w:tcBorders>
              <w:top w:val="nil"/>
              <w:left w:val="nil"/>
              <w:bottom w:val="single" w:sz="4" w:space="0" w:color="auto"/>
              <w:right w:val="single" w:sz="4" w:space="0" w:color="auto"/>
            </w:tcBorders>
            <w:shd w:val="clear" w:color="auto" w:fill="auto"/>
            <w:noWrap/>
            <w:vAlign w:val="center"/>
            <w:hideMark/>
          </w:tcPr>
          <w:p w14:paraId="68F3983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2.080465</w:t>
            </w:r>
          </w:p>
        </w:tc>
        <w:tc>
          <w:tcPr>
            <w:tcW w:w="344" w:type="pct"/>
            <w:tcBorders>
              <w:top w:val="nil"/>
              <w:left w:val="nil"/>
              <w:bottom w:val="single" w:sz="4" w:space="0" w:color="auto"/>
              <w:right w:val="single" w:sz="4" w:space="0" w:color="auto"/>
            </w:tcBorders>
            <w:shd w:val="clear" w:color="auto" w:fill="auto"/>
            <w:noWrap/>
            <w:vAlign w:val="center"/>
            <w:hideMark/>
          </w:tcPr>
          <w:p w14:paraId="6422A90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54.999163</w:t>
            </w:r>
          </w:p>
        </w:tc>
        <w:tc>
          <w:tcPr>
            <w:tcW w:w="358" w:type="pct"/>
            <w:tcBorders>
              <w:top w:val="nil"/>
              <w:left w:val="nil"/>
              <w:bottom w:val="single" w:sz="4" w:space="0" w:color="auto"/>
              <w:right w:val="single" w:sz="4" w:space="0" w:color="auto"/>
            </w:tcBorders>
            <w:shd w:val="clear" w:color="auto" w:fill="auto"/>
            <w:noWrap/>
            <w:vAlign w:val="center"/>
            <w:hideMark/>
          </w:tcPr>
          <w:p w14:paraId="20BB5CD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2.082845</w:t>
            </w:r>
          </w:p>
        </w:tc>
      </w:tr>
      <w:tr w:rsidR="003A0626" w:rsidRPr="00B91524" w14:paraId="0FEF3E77"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55BE775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15</w:t>
            </w:r>
          </w:p>
        </w:tc>
        <w:tc>
          <w:tcPr>
            <w:tcW w:w="343" w:type="pct"/>
            <w:tcBorders>
              <w:top w:val="nil"/>
              <w:left w:val="nil"/>
              <w:bottom w:val="single" w:sz="4" w:space="0" w:color="auto"/>
              <w:right w:val="single" w:sz="4" w:space="0" w:color="auto"/>
            </w:tcBorders>
            <w:shd w:val="clear" w:color="auto" w:fill="auto"/>
            <w:noWrap/>
            <w:vAlign w:val="center"/>
            <w:hideMark/>
          </w:tcPr>
          <w:p w14:paraId="06F543C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20</w:t>
            </w:r>
          </w:p>
        </w:tc>
        <w:tc>
          <w:tcPr>
            <w:tcW w:w="2679" w:type="pct"/>
            <w:tcBorders>
              <w:top w:val="nil"/>
              <w:left w:val="nil"/>
              <w:bottom w:val="single" w:sz="4" w:space="0" w:color="auto"/>
              <w:right w:val="single" w:sz="4" w:space="0" w:color="auto"/>
            </w:tcBorders>
            <w:shd w:val="clear" w:color="auto" w:fill="auto"/>
            <w:noWrap/>
            <w:vAlign w:val="center"/>
            <w:hideMark/>
          </w:tcPr>
          <w:p w14:paraId="0A354CAF"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39CB9BEF"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5329E8CE"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54.982542</w:t>
            </w:r>
          </w:p>
        </w:tc>
        <w:tc>
          <w:tcPr>
            <w:tcW w:w="354" w:type="pct"/>
            <w:tcBorders>
              <w:top w:val="nil"/>
              <w:left w:val="nil"/>
              <w:bottom w:val="single" w:sz="4" w:space="0" w:color="auto"/>
              <w:right w:val="single" w:sz="4" w:space="0" w:color="auto"/>
            </w:tcBorders>
            <w:shd w:val="clear" w:color="auto" w:fill="auto"/>
            <w:noWrap/>
            <w:vAlign w:val="center"/>
            <w:hideMark/>
          </w:tcPr>
          <w:p w14:paraId="09D4FD8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2.377845</w:t>
            </w:r>
          </w:p>
        </w:tc>
        <w:tc>
          <w:tcPr>
            <w:tcW w:w="344" w:type="pct"/>
            <w:tcBorders>
              <w:top w:val="nil"/>
              <w:left w:val="nil"/>
              <w:bottom w:val="single" w:sz="4" w:space="0" w:color="auto"/>
              <w:right w:val="single" w:sz="4" w:space="0" w:color="auto"/>
            </w:tcBorders>
            <w:shd w:val="clear" w:color="auto" w:fill="auto"/>
            <w:noWrap/>
            <w:vAlign w:val="center"/>
            <w:hideMark/>
          </w:tcPr>
          <w:p w14:paraId="4B0F03F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54.982542</w:t>
            </w:r>
          </w:p>
        </w:tc>
        <w:tc>
          <w:tcPr>
            <w:tcW w:w="358" w:type="pct"/>
            <w:tcBorders>
              <w:top w:val="nil"/>
              <w:left w:val="nil"/>
              <w:bottom w:val="single" w:sz="4" w:space="0" w:color="auto"/>
              <w:right w:val="single" w:sz="4" w:space="0" w:color="auto"/>
            </w:tcBorders>
            <w:shd w:val="clear" w:color="auto" w:fill="auto"/>
            <w:noWrap/>
            <w:vAlign w:val="center"/>
            <w:hideMark/>
          </w:tcPr>
          <w:p w14:paraId="1A176E4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2.377845</w:t>
            </w:r>
          </w:p>
        </w:tc>
      </w:tr>
      <w:tr w:rsidR="003A0626" w:rsidRPr="00B91524" w14:paraId="7ADE25B6"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683C2170"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21</w:t>
            </w:r>
          </w:p>
        </w:tc>
        <w:tc>
          <w:tcPr>
            <w:tcW w:w="343" w:type="pct"/>
            <w:tcBorders>
              <w:top w:val="nil"/>
              <w:left w:val="nil"/>
              <w:bottom w:val="single" w:sz="4" w:space="0" w:color="auto"/>
              <w:right w:val="single" w:sz="4" w:space="0" w:color="auto"/>
            </w:tcBorders>
            <w:shd w:val="clear" w:color="auto" w:fill="auto"/>
            <w:noWrap/>
            <w:vAlign w:val="center"/>
            <w:hideMark/>
          </w:tcPr>
          <w:p w14:paraId="65DBA71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21</w:t>
            </w:r>
          </w:p>
        </w:tc>
        <w:tc>
          <w:tcPr>
            <w:tcW w:w="2679" w:type="pct"/>
            <w:tcBorders>
              <w:top w:val="nil"/>
              <w:left w:val="nil"/>
              <w:bottom w:val="single" w:sz="4" w:space="0" w:color="auto"/>
              <w:right w:val="single" w:sz="4" w:space="0" w:color="auto"/>
            </w:tcBorders>
            <w:shd w:val="clear" w:color="auto" w:fill="auto"/>
            <w:noWrap/>
            <w:vAlign w:val="center"/>
            <w:hideMark/>
          </w:tcPr>
          <w:p w14:paraId="36A622A7"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Moved 1053 m SW to avoid conflict with Sofia IAC</w:t>
            </w:r>
          </w:p>
        </w:tc>
        <w:tc>
          <w:tcPr>
            <w:tcW w:w="293" w:type="pct"/>
            <w:tcBorders>
              <w:top w:val="nil"/>
              <w:left w:val="nil"/>
              <w:bottom w:val="single" w:sz="4" w:space="0" w:color="auto"/>
              <w:right w:val="single" w:sz="4" w:space="0" w:color="auto"/>
            </w:tcBorders>
            <w:shd w:val="clear" w:color="auto" w:fill="auto"/>
            <w:noWrap/>
            <w:vAlign w:val="center"/>
            <w:hideMark/>
          </w:tcPr>
          <w:p w14:paraId="1E8C3FD4"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057975B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54.925242</w:t>
            </w:r>
          </w:p>
        </w:tc>
        <w:tc>
          <w:tcPr>
            <w:tcW w:w="354" w:type="pct"/>
            <w:tcBorders>
              <w:top w:val="nil"/>
              <w:left w:val="nil"/>
              <w:bottom w:val="single" w:sz="4" w:space="0" w:color="auto"/>
              <w:right w:val="single" w:sz="4" w:space="0" w:color="auto"/>
            </w:tcBorders>
            <w:shd w:val="clear" w:color="auto" w:fill="auto"/>
            <w:noWrap/>
            <w:vAlign w:val="center"/>
            <w:hideMark/>
          </w:tcPr>
          <w:p w14:paraId="1FA5D52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2.113068</w:t>
            </w:r>
          </w:p>
        </w:tc>
        <w:tc>
          <w:tcPr>
            <w:tcW w:w="344" w:type="pct"/>
            <w:tcBorders>
              <w:top w:val="nil"/>
              <w:left w:val="nil"/>
              <w:bottom w:val="single" w:sz="4" w:space="0" w:color="auto"/>
              <w:right w:val="single" w:sz="4" w:space="0" w:color="auto"/>
            </w:tcBorders>
            <w:shd w:val="clear" w:color="auto" w:fill="auto"/>
            <w:noWrap/>
            <w:vAlign w:val="center"/>
            <w:hideMark/>
          </w:tcPr>
          <w:p w14:paraId="37F02E89"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54.919422</w:t>
            </w:r>
          </w:p>
        </w:tc>
        <w:tc>
          <w:tcPr>
            <w:tcW w:w="358" w:type="pct"/>
            <w:tcBorders>
              <w:top w:val="nil"/>
              <w:left w:val="nil"/>
              <w:bottom w:val="single" w:sz="4" w:space="0" w:color="auto"/>
              <w:right w:val="single" w:sz="4" w:space="0" w:color="auto"/>
            </w:tcBorders>
            <w:shd w:val="clear" w:color="auto" w:fill="auto"/>
            <w:noWrap/>
            <w:vAlign w:val="center"/>
            <w:hideMark/>
          </w:tcPr>
          <w:p w14:paraId="14361C0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2.100097</w:t>
            </w:r>
          </w:p>
        </w:tc>
      </w:tr>
      <w:tr w:rsidR="003A0626" w:rsidRPr="00B91524" w14:paraId="10B19143"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3759A9E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16</w:t>
            </w:r>
          </w:p>
        </w:tc>
        <w:tc>
          <w:tcPr>
            <w:tcW w:w="343" w:type="pct"/>
            <w:tcBorders>
              <w:top w:val="nil"/>
              <w:left w:val="nil"/>
              <w:bottom w:val="single" w:sz="4" w:space="0" w:color="auto"/>
              <w:right w:val="single" w:sz="4" w:space="0" w:color="auto"/>
            </w:tcBorders>
            <w:shd w:val="clear" w:color="auto" w:fill="auto"/>
            <w:noWrap/>
            <w:vAlign w:val="center"/>
            <w:hideMark/>
          </w:tcPr>
          <w:p w14:paraId="05D80D9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22</w:t>
            </w:r>
          </w:p>
        </w:tc>
        <w:tc>
          <w:tcPr>
            <w:tcW w:w="2679" w:type="pct"/>
            <w:tcBorders>
              <w:top w:val="nil"/>
              <w:left w:val="nil"/>
              <w:bottom w:val="single" w:sz="4" w:space="0" w:color="auto"/>
              <w:right w:val="single" w:sz="4" w:space="0" w:color="auto"/>
            </w:tcBorders>
            <w:shd w:val="clear" w:color="auto" w:fill="auto"/>
            <w:noWrap/>
            <w:vAlign w:val="center"/>
            <w:hideMark/>
          </w:tcPr>
          <w:p w14:paraId="4C8EFBD4"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Moved 653 m NE to avoid conflict with Sofia IAC</w:t>
            </w:r>
          </w:p>
        </w:tc>
        <w:tc>
          <w:tcPr>
            <w:tcW w:w="293" w:type="pct"/>
            <w:tcBorders>
              <w:top w:val="nil"/>
              <w:left w:val="nil"/>
              <w:bottom w:val="single" w:sz="4" w:space="0" w:color="auto"/>
              <w:right w:val="single" w:sz="4" w:space="0" w:color="auto"/>
            </w:tcBorders>
            <w:shd w:val="clear" w:color="auto" w:fill="auto"/>
            <w:noWrap/>
            <w:vAlign w:val="center"/>
            <w:hideMark/>
          </w:tcPr>
          <w:p w14:paraId="245FCBE9"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0A1E5F99"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55.057873</w:t>
            </w:r>
          </w:p>
        </w:tc>
        <w:tc>
          <w:tcPr>
            <w:tcW w:w="354" w:type="pct"/>
            <w:tcBorders>
              <w:top w:val="nil"/>
              <w:left w:val="nil"/>
              <w:bottom w:val="single" w:sz="4" w:space="0" w:color="auto"/>
              <w:right w:val="single" w:sz="4" w:space="0" w:color="auto"/>
            </w:tcBorders>
            <w:shd w:val="clear" w:color="auto" w:fill="auto"/>
            <w:noWrap/>
            <w:vAlign w:val="center"/>
            <w:hideMark/>
          </w:tcPr>
          <w:p w14:paraId="4A461BA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2.352158</w:t>
            </w:r>
          </w:p>
        </w:tc>
        <w:tc>
          <w:tcPr>
            <w:tcW w:w="344" w:type="pct"/>
            <w:tcBorders>
              <w:top w:val="nil"/>
              <w:left w:val="nil"/>
              <w:bottom w:val="single" w:sz="4" w:space="0" w:color="auto"/>
              <w:right w:val="single" w:sz="4" w:space="0" w:color="auto"/>
            </w:tcBorders>
            <w:shd w:val="clear" w:color="auto" w:fill="auto"/>
            <w:noWrap/>
            <w:vAlign w:val="center"/>
            <w:hideMark/>
          </w:tcPr>
          <w:p w14:paraId="7EA0339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55.061646</w:t>
            </w:r>
          </w:p>
        </w:tc>
        <w:tc>
          <w:tcPr>
            <w:tcW w:w="358" w:type="pct"/>
            <w:tcBorders>
              <w:top w:val="nil"/>
              <w:left w:val="nil"/>
              <w:bottom w:val="single" w:sz="4" w:space="0" w:color="auto"/>
              <w:right w:val="single" w:sz="4" w:space="0" w:color="auto"/>
            </w:tcBorders>
            <w:shd w:val="clear" w:color="auto" w:fill="auto"/>
            <w:noWrap/>
            <w:vAlign w:val="center"/>
            <w:hideMark/>
          </w:tcPr>
          <w:p w14:paraId="62E89BE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2.360001</w:t>
            </w:r>
          </w:p>
        </w:tc>
      </w:tr>
      <w:tr w:rsidR="003A0626" w:rsidRPr="00B91524" w14:paraId="2DBD45F6"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071E6E7E"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14</w:t>
            </w:r>
          </w:p>
        </w:tc>
        <w:tc>
          <w:tcPr>
            <w:tcW w:w="343" w:type="pct"/>
            <w:tcBorders>
              <w:top w:val="nil"/>
              <w:left w:val="nil"/>
              <w:bottom w:val="single" w:sz="4" w:space="0" w:color="auto"/>
              <w:right w:val="single" w:sz="4" w:space="0" w:color="auto"/>
            </w:tcBorders>
            <w:shd w:val="clear" w:color="auto" w:fill="auto"/>
            <w:noWrap/>
            <w:vAlign w:val="center"/>
            <w:hideMark/>
          </w:tcPr>
          <w:p w14:paraId="35817F4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23</w:t>
            </w:r>
          </w:p>
        </w:tc>
        <w:tc>
          <w:tcPr>
            <w:tcW w:w="2679" w:type="pct"/>
            <w:tcBorders>
              <w:top w:val="nil"/>
              <w:left w:val="nil"/>
              <w:bottom w:val="single" w:sz="4" w:space="0" w:color="auto"/>
              <w:right w:val="single" w:sz="4" w:space="0" w:color="auto"/>
            </w:tcBorders>
            <w:shd w:val="clear" w:color="auto" w:fill="auto"/>
            <w:noWrap/>
            <w:vAlign w:val="center"/>
            <w:hideMark/>
          </w:tcPr>
          <w:p w14:paraId="43FBFC9D"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Moved 1398 m to avoid conflict with Dogger Bank C cable route</w:t>
            </w:r>
          </w:p>
        </w:tc>
        <w:tc>
          <w:tcPr>
            <w:tcW w:w="293" w:type="pct"/>
            <w:tcBorders>
              <w:top w:val="nil"/>
              <w:left w:val="nil"/>
              <w:bottom w:val="single" w:sz="4" w:space="0" w:color="auto"/>
              <w:right w:val="single" w:sz="4" w:space="0" w:color="auto"/>
            </w:tcBorders>
            <w:shd w:val="clear" w:color="auto" w:fill="auto"/>
            <w:noWrap/>
            <w:vAlign w:val="center"/>
            <w:hideMark/>
          </w:tcPr>
          <w:p w14:paraId="3516F39E"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4C8CD36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54.900254</w:t>
            </w:r>
          </w:p>
        </w:tc>
        <w:tc>
          <w:tcPr>
            <w:tcW w:w="354" w:type="pct"/>
            <w:tcBorders>
              <w:top w:val="nil"/>
              <w:left w:val="nil"/>
              <w:bottom w:val="single" w:sz="4" w:space="0" w:color="auto"/>
              <w:right w:val="single" w:sz="4" w:space="0" w:color="auto"/>
            </w:tcBorders>
            <w:shd w:val="clear" w:color="auto" w:fill="auto"/>
            <w:noWrap/>
            <w:vAlign w:val="center"/>
            <w:hideMark/>
          </w:tcPr>
          <w:p w14:paraId="519722E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2.382785</w:t>
            </w:r>
          </w:p>
        </w:tc>
        <w:tc>
          <w:tcPr>
            <w:tcW w:w="344" w:type="pct"/>
            <w:tcBorders>
              <w:top w:val="nil"/>
              <w:left w:val="nil"/>
              <w:bottom w:val="single" w:sz="4" w:space="0" w:color="auto"/>
              <w:right w:val="single" w:sz="4" w:space="0" w:color="auto"/>
            </w:tcBorders>
            <w:shd w:val="clear" w:color="auto" w:fill="auto"/>
            <w:noWrap/>
            <w:vAlign w:val="center"/>
            <w:hideMark/>
          </w:tcPr>
          <w:p w14:paraId="2E230E3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54.899960</w:t>
            </w:r>
          </w:p>
        </w:tc>
        <w:tc>
          <w:tcPr>
            <w:tcW w:w="358" w:type="pct"/>
            <w:tcBorders>
              <w:top w:val="nil"/>
              <w:left w:val="nil"/>
              <w:bottom w:val="single" w:sz="4" w:space="0" w:color="auto"/>
              <w:right w:val="single" w:sz="4" w:space="0" w:color="auto"/>
            </w:tcBorders>
            <w:shd w:val="clear" w:color="auto" w:fill="auto"/>
            <w:noWrap/>
            <w:vAlign w:val="center"/>
            <w:hideMark/>
          </w:tcPr>
          <w:p w14:paraId="11E588C9"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2.404587</w:t>
            </w:r>
          </w:p>
        </w:tc>
      </w:tr>
      <w:tr w:rsidR="003A0626" w:rsidRPr="00B91524" w14:paraId="2D010E2B"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5131B80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24</w:t>
            </w:r>
          </w:p>
        </w:tc>
        <w:tc>
          <w:tcPr>
            <w:tcW w:w="343" w:type="pct"/>
            <w:tcBorders>
              <w:top w:val="nil"/>
              <w:left w:val="nil"/>
              <w:bottom w:val="single" w:sz="4" w:space="0" w:color="auto"/>
              <w:right w:val="single" w:sz="4" w:space="0" w:color="auto"/>
            </w:tcBorders>
            <w:shd w:val="clear" w:color="auto" w:fill="auto"/>
            <w:noWrap/>
            <w:vAlign w:val="center"/>
            <w:hideMark/>
          </w:tcPr>
          <w:p w14:paraId="7B6D86D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24</w:t>
            </w:r>
          </w:p>
        </w:tc>
        <w:tc>
          <w:tcPr>
            <w:tcW w:w="2679" w:type="pct"/>
            <w:tcBorders>
              <w:top w:val="nil"/>
              <w:left w:val="nil"/>
              <w:bottom w:val="single" w:sz="4" w:space="0" w:color="auto"/>
              <w:right w:val="single" w:sz="4" w:space="0" w:color="auto"/>
            </w:tcBorders>
            <w:shd w:val="clear" w:color="auto" w:fill="auto"/>
            <w:noWrap/>
            <w:vAlign w:val="center"/>
            <w:hideMark/>
          </w:tcPr>
          <w:p w14:paraId="33DB871B"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Moved 1203 m NE to avoid conflict with Sofia IAC and WTG</w:t>
            </w:r>
          </w:p>
        </w:tc>
        <w:tc>
          <w:tcPr>
            <w:tcW w:w="293" w:type="pct"/>
            <w:tcBorders>
              <w:top w:val="nil"/>
              <w:left w:val="nil"/>
              <w:bottom w:val="single" w:sz="4" w:space="0" w:color="auto"/>
              <w:right w:val="single" w:sz="4" w:space="0" w:color="auto"/>
            </w:tcBorders>
            <w:shd w:val="clear" w:color="auto" w:fill="auto"/>
            <w:noWrap/>
            <w:vAlign w:val="center"/>
            <w:hideMark/>
          </w:tcPr>
          <w:p w14:paraId="07DAE0EB"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72F33D2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55.069754</w:t>
            </w:r>
          </w:p>
        </w:tc>
        <w:tc>
          <w:tcPr>
            <w:tcW w:w="354" w:type="pct"/>
            <w:tcBorders>
              <w:top w:val="nil"/>
              <w:left w:val="nil"/>
              <w:bottom w:val="single" w:sz="4" w:space="0" w:color="auto"/>
              <w:right w:val="single" w:sz="4" w:space="0" w:color="auto"/>
            </w:tcBorders>
            <w:shd w:val="clear" w:color="auto" w:fill="auto"/>
            <w:noWrap/>
            <w:vAlign w:val="center"/>
            <w:hideMark/>
          </w:tcPr>
          <w:p w14:paraId="787D302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2.053789</w:t>
            </w:r>
          </w:p>
        </w:tc>
        <w:tc>
          <w:tcPr>
            <w:tcW w:w="344" w:type="pct"/>
            <w:tcBorders>
              <w:top w:val="nil"/>
              <w:left w:val="nil"/>
              <w:bottom w:val="single" w:sz="4" w:space="0" w:color="auto"/>
              <w:right w:val="single" w:sz="4" w:space="0" w:color="auto"/>
            </w:tcBorders>
            <w:shd w:val="clear" w:color="auto" w:fill="auto"/>
            <w:noWrap/>
            <w:vAlign w:val="center"/>
            <w:hideMark/>
          </w:tcPr>
          <w:p w14:paraId="75ADD45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55.080297</w:t>
            </w:r>
          </w:p>
        </w:tc>
        <w:tc>
          <w:tcPr>
            <w:tcW w:w="358" w:type="pct"/>
            <w:tcBorders>
              <w:top w:val="nil"/>
              <w:left w:val="nil"/>
              <w:bottom w:val="single" w:sz="4" w:space="0" w:color="auto"/>
              <w:right w:val="single" w:sz="4" w:space="0" w:color="auto"/>
            </w:tcBorders>
            <w:shd w:val="clear" w:color="auto" w:fill="auto"/>
            <w:noWrap/>
            <w:vAlign w:val="center"/>
            <w:hideMark/>
          </w:tcPr>
          <w:p w14:paraId="28B7C4AE"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2.058005</w:t>
            </w:r>
          </w:p>
        </w:tc>
      </w:tr>
      <w:tr w:rsidR="003A0626" w:rsidRPr="00B91524" w14:paraId="213CE839"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1C8961F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32</w:t>
            </w:r>
          </w:p>
        </w:tc>
        <w:tc>
          <w:tcPr>
            <w:tcW w:w="343" w:type="pct"/>
            <w:tcBorders>
              <w:top w:val="nil"/>
              <w:left w:val="nil"/>
              <w:bottom w:val="single" w:sz="4" w:space="0" w:color="auto"/>
              <w:right w:val="single" w:sz="4" w:space="0" w:color="auto"/>
            </w:tcBorders>
            <w:shd w:val="clear" w:color="auto" w:fill="auto"/>
            <w:noWrap/>
            <w:vAlign w:val="center"/>
            <w:hideMark/>
          </w:tcPr>
          <w:p w14:paraId="5D80DCA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25</w:t>
            </w:r>
          </w:p>
        </w:tc>
        <w:tc>
          <w:tcPr>
            <w:tcW w:w="2679" w:type="pct"/>
            <w:tcBorders>
              <w:top w:val="nil"/>
              <w:left w:val="nil"/>
              <w:bottom w:val="single" w:sz="4" w:space="0" w:color="auto"/>
              <w:right w:val="single" w:sz="4" w:space="0" w:color="auto"/>
            </w:tcBorders>
            <w:shd w:val="clear" w:color="auto" w:fill="auto"/>
            <w:noWrap/>
            <w:vAlign w:val="center"/>
            <w:hideMark/>
          </w:tcPr>
          <w:p w14:paraId="339D15C2"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2C588453"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5AD93D9E"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55.104812</w:t>
            </w:r>
          </w:p>
        </w:tc>
        <w:tc>
          <w:tcPr>
            <w:tcW w:w="354" w:type="pct"/>
            <w:tcBorders>
              <w:top w:val="nil"/>
              <w:left w:val="nil"/>
              <w:bottom w:val="single" w:sz="4" w:space="0" w:color="auto"/>
              <w:right w:val="single" w:sz="4" w:space="0" w:color="auto"/>
            </w:tcBorders>
            <w:shd w:val="clear" w:color="auto" w:fill="auto"/>
            <w:noWrap/>
            <w:vAlign w:val="center"/>
            <w:hideMark/>
          </w:tcPr>
          <w:p w14:paraId="5B1DAB9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1.453100</w:t>
            </w:r>
          </w:p>
        </w:tc>
        <w:tc>
          <w:tcPr>
            <w:tcW w:w="344" w:type="pct"/>
            <w:tcBorders>
              <w:top w:val="nil"/>
              <w:left w:val="nil"/>
              <w:bottom w:val="single" w:sz="4" w:space="0" w:color="auto"/>
              <w:right w:val="single" w:sz="4" w:space="0" w:color="auto"/>
            </w:tcBorders>
            <w:shd w:val="clear" w:color="auto" w:fill="auto"/>
            <w:noWrap/>
            <w:vAlign w:val="center"/>
            <w:hideMark/>
          </w:tcPr>
          <w:p w14:paraId="1C4CADD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55.104812</w:t>
            </w:r>
          </w:p>
        </w:tc>
        <w:tc>
          <w:tcPr>
            <w:tcW w:w="358" w:type="pct"/>
            <w:tcBorders>
              <w:top w:val="nil"/>
              <w:left w:val="nil"/>
              <w:bottom w:val="single" w:sz="4" w:space="0" w:color="auto"/>
              <w:right w:val="single" w:sz="4" w:space="0" w:color="auto"/>
            </w:tcBorders>
            <w:shd w:val="clear" w:color="auto" w:fill="auto"/>
            <w:noWrap/>
            <w:vAlign w:val="center"/>
            <w:hideMark/>
          </w:tcPr>
          <w:p w14:paraId="44B6508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1.453100</w:t>
            </w:r>
          </w:p>
        </w:tc>
      </w:tr>
      <w:tr w:rsidR="003A0626" w:rsidRPr="00B91524" w14:paraId="5AF2B24B"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38A5929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31</w:t>
            </w:r>
          </w:p>
        </w:tc>
        <w:tc>
          <w:tcPr>
            <w:tcW w:w="343" w:type="pct"/>
            <w:tcBorders>
              <w:top w:val="nil"/>
              <w:left w:val="nil"/>
              <w:bottom w:val="single" w:sz="4" w:space="0" w:color="auto"/>
              <w:right w:val="single" w:sz="4" w:space="0" w:color="auto"/>
            </w:tcBorders>
            <w:shd w:val="clear" w:color="auto" w:fill="auto"/>
            <w:noWrap/>
            <w:vAlign w:val="center"/>
            <w:hideMark/>
          </w:tcPr>
          <w:p w14:paraId="42F6B54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26</w:t>
            </w:r>
          </w:p>
        </w:tc>
        <w:tc>
          <w:tcPr>
            <w:tcW w:w="2679" w:type="pct"/>
            <w:tcBorders>
              <w:top w:val="nil"/>
              <w:left w:val="nil"/>
              <w:bottom w:val="single" w:sz="4" w:space="0" w:color="auto"/>
              <w:right w:val="single" w:sz="4" w:space="0" w:color="auto"/>
            </w:tcBorders>
            <w:shd w:val="clear" w:color="auto" w:fill="auto"/>
            <w:noWrap/>
            <w:vAlign w:val="center"/>
            <w:hideMark/>
          </w:tcPr>
          <w:p w14:paraId="0D9544A1"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3276942E"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0A1F6B5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55.020508</w:t>
            </w:r>
          </w:p>
        </w:tc>
        <w:tc>
          <w:tcPr>
            <w:tcW w:w="354" w:type="pct"/>
            <w:tcBorders>
              <w:top w:val="nil"/>
              <w:left w:val="nil"/>
              <w:bottom w:val="single" w:sz="4" w:space="0" w:color="auto"/>
              <w:right w:val="single" w:sz="4" w:space="0" w:color="auto"/>
            </w:tcBorders>
            <w:shd w:val="clear" w:color="auto" w:fill="auto"/>
            <w:noWrap/>
            <w:vAlign w:val="center"/>
            <w:hideMark/>
          </w:tcPr>
          <w:p w14:paraId="726514F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1.585489</w:t>
            </w:r>
          </w:p>
        </w:tc>
        <w:tc>
          <w:tcPr>
            <w:tcW w:w="344" w:type="pct"/>
            <w:tcBorders>
              <w:top w:val="nil"/>
              <w:left w:val="nil"/>
              <w:bottom w:val="single" w:sz="4" w:space="0" w:color="auto"/>
              <w:right w:val="single" w:sz="4" w:space="0" w:color="auto"/>
            </w:tcBorders>
            <w:shd w:val="clear" w:color="auto" w:fill="auto"/>
            <w:noWrap/>
            <w:vAlign w:val="center"/>
            <w:hideMark/>
          </w:tcPr>
          <w:p w14:paraId="2AE2EC7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55.020508</w:t>
            </w:r>
          </w:p>
        </w:tc>
        <w:tc>
          <w:tcPr>
            <w:tcW w:w="358" w:type="pct"/>
            <w:tcBorders>
              <w:top w:val="nil"/>
              <w:left w:val="nil"/>
              <w:bottom w:val="single" w:sz="4" w:space="0" w:color="auto"/>
              <w:right w:val="single" w:sz="4" w:space="0" w:color="auto"/>
            </w:tcBorders>
            <w:shd w:val="clear" w:color="auto" w:fill="auto"/>
            <w:noWrap/>
            <w:vAlign w:val="center"/>
            <w:hideMark/>
          </w:tcPr>
          <w:p w14:paraId="5E96D19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1.585489</w:t>
            </w:r>
          </w:p>
        </w:tc>
      </w:tr>
      <w:tr w:rsidR="003A0626" w:rsidRPr="00B91524" w14:paraId="5B0AEBC5"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2BAEC26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30</w:t>
            </w:r>
          </w:p>
        </w:tc>
        <w:tc>
          <w:tcPr>
            <w:tcW w:w="343" w:type="pct"/>
            <w:tcBorders>
              <w:top w:val="nil"/>
              <w:left w:val="nil"/>
              <w:bottom w:val="single" w:sz="4" w:space="0" w:color="auto"/>
              <w:right w:val="single" w:sz="4" w:space="0" w:color="auto"/>
            </w:tcBorders>
            <w:shd w:val="clear" w:color="auto" w:fill="auto"/>
            <w:noWrap/>
            <w:vAlign w:val="center"/>
            <w:hideMark/>
          </w:tcPr>
          <w:p w14:paraId="6A65F85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27</w:t>
            </w:r>
          </w:p>
        </w:tc>
        <w:tc>
          <w:tcPr>
            <w:tcW w:w="2679" w:type="pct"/>
            <w:tcBorders>
              <w:top w:val="nil"/>
              <w:left w:val="nil"/>
              <w:bottom w:val="single" w:sz="4" w:space="0" w:color="auto"/>
              <w:right w:val="single" w:sz="4" w:space="0" w:color="auto"/>
            </w:tcBorders>
            <w:shd w:val="clear" w:color="auto" w:fill="auto"/>
            <w:noWrap/>
            <w:vAlign w:val="center"/>
            <w:hideMark/>
          </w:tcPr>
          <w:p w14:paraId="64F4D72D"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1FEFD4AF"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4EBEF04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54.967232</w:t>
            </w:r>
          </w:p>
        </w:tc>
        <w:tc>
          <w:tcPr>
            <w:tcW w:w="354" w:type="pct"/>
            <w:tcBorders>
              <w:top w:val="nil"/>
              <w:left w:val="nil"/>
              <w:bottom w:val="single" w:sz="4" w:space="0" w:color="auto"/>
              <w:right w:val="single" w:sz="4" w:space="0" w:color="auto"/>
            </w:tcBorders>
            <w:shd w:val="clear" w:color="auto" w:fill="auto"/>
            <w:noWrap/>
            <w:vAlign w:val="center"/>
            <w:hideMark/>
          </w:tcPr>
          <w:p w14:paraId="0E1592B1"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1.671443</w:t>
            </w:r>
          </w:p>
        </w:tc>
        <w:tc>
          <w:tcPr>
            <w:tcW w:w="344" w:type="pct"/>
            <w:tcBorders>
              <w:top w:val="nil"/>
              <w:left w:val="nil"/>
              <w:bottom w:val="single" w:sz="4" w:space="0" w:color="auto"/>
              <w:right w:val="single" w:sz="4" w:space="0" w:color="auto"/>
            </w:tcBorders>
            <w:shd w:val="clear" w:color="auto" w:fill="auto"/>
            <w:noWrap/>
            <w:vAlign w:val="center"/>
            <w:hideMark/>
          </w:tcPr>
          <w:p w14:paraId="6CA9462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54.967232</w:t>
            </w:r>
          </w:p>
        </w:tc>
        <w:tc>
          <w:tcPr>
            <w:tcW w:w="358" w:type="pct"/>
            <w:tcBorders>
              <w:top w:val="nil"/>
              <w:left w:val="nil"/>
              <w:bottom w:val="single" w:sz="4" w:space="0" w:color="auto"/>
              <w:right w:val="single" w:sz="4" w:space="0" w:color="auto"/>
            </w:tcBorders>
            <w:shd w:val="clear" w:color="auto" w:fill="auto"/>
            <w:noWrap/>
            <w:vAlign w:val="center"/>
            <w:hideMark/>
          </w:tcPr>
          <w:p w14:paraId="34F5F6D4"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1.671443</w:t>
            </w:r>
          </w:p>
        </w:tc>
      </w:tr>
      <w:tr w:rsidR="003A0626" w:rsidRPr="00B91524" w14:paraId="04258E97"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4D03CCB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29</w:t>
            </w:r>
          </w:p>
        </w:tc>
        <w:tc>
          <w:tcPr>
            <w:tcW w:w="343" w:type="pct"/>
            <w:tcBorders>
              <w:top w:val="nil"/>
              <w:left w:val="nil"/>
              <w:bottom w:val="single" w:sz="4" w:space="0" w:color="auto"/>
              <w:right w:val="single" w:sz="4" w:space="0" w:color="auto"/>
            </w:tcBorders>
            <w:shd w:val="clear" w:color="auto" w:fill="auto"/>
            <w:noWrap/>
            <w:vAlign w:val="center"/>
            <w:hideMark/>
          </w:tcPr>
          <w:p w14:paraId="25D174C1"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28</w:t>
            </w:r>
          </w:p>
        </w:tc>
        <w:tc>
          <w:tcPr>
            <w:tcW w:w="2679" w:type="pct"/>
            <w:tcBorders>
              <w:top w:val="nil"/>
              <w:left w:val="nil"/>
              <w:bottom w:val="single" w:sz="4" w:space="0" w:color="auto"/>
              <w:right w:val="single" w:sz="4" w:space="0" w:color="auto"/>
            </w:tcBorders>
            <w:shd w:val="clear" w:color="auto" w:fill="auto"/>
            <w:noWrap/>
            <w:vAlign w:val="center"/>
            <w:hideMark/>
          </w:tcPr>
          <w:p w14:paraId="6F78D5A5"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Moved 215 m SE to avoid conflict with Dogger Bank B WTG</w:t>
            </w:r>
          </w:p>
        </w:tc>
        <w:tc>
          <w:tcPr>
            <w:tcW w:w="293" w:type="pct"/>
            <w:tcBorders>
              <w:top w:val="nil"/>
              <w:left w:val="nil"/>
              <w:bottom w:val="single" w:sz="4" w:space="0" w:color="auto"/>
              <w:right w:val="single" w:sz="4" w:space="0" w:color="auto"/>
            </w:tcBorders>
            <w:shd w:val="clear" w:color="auto" w:fill="auto"/>
            <w:noWrap/>
            <w:vAlign w:val="center"/>
            <w:hideMark/>
          </w:tcPr>
          <w:p w14:paraId="09A90A5D"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34FF492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54.903662</w:t>
            </w:r>
          </w:p>
        </w:tc>
        <w:tc>
          <w:tcPr>
            <w:tcW w:w="354" w:type="pct"/>
            <w:tcBorders>
              <w:top w:val="nil"/>
              <w:left w:val="nil"/>
              <w:bottom w:val="single" w:sz="4" w:space="0" w:color="auto"/>
              <w:right w:val="single" w:sz="4" w:space="0" w:color="auto"/>
            </w:tcBorders>
            <w:shd w:val="clear" w:color="auto" w:fill="auto"/>
            <w:noWrap/>
            <w:vAlign w:val="center"/>
            <w:hideMark/>
          </w:tcPr>
          <w:p w14:paraId="40A66649"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1.777156</w:t>
            </w:r>
          </w:p>
        </w:tc>
        <w:tc>
          <w:tcPr>
            <w:tcW w:w="344" w:type="pct"/>
            <w:tcBorders>
              <w:top w:val="nil"/>
              <w:left w:val="nil"/>
              <w:bottom w:val="single" w:sz="4" w:space="0" w:color="auto"/>
              <w:right w:val="single" w:sz="4" w:space="0" w:color="auto"/>
            </w:tcBorders>
            <w:shd w:val="clear" w:color="auto" w:fill="auto"/>
            <w:noWrap/>
            <w:vAlign w:val="center"/>
            <w:hideMark/>
          </w:tcPr>
          <w:p w14:paraId="4AAEE7C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54.901863</w:t>
            </w:r>
          </w:p>
        </w:tc>
        <w:tc>
          <w:tcPr>
            <w:tcW w:w="358" w:type="pct"/>
            <w:tcBorders>
              <w:top w:val="nil"/>
              <w:left w:val="nil"/>
              <w:bottom w:val="single" w:sz="4" w:space="0" w:color="auto"/>
              <w:right w:val="single" w:sz="4" w:space="0" w:color="auto"/>
            </w:tcBorders>
            <w:shd w:val="clear" w:color="auto" w:fill="auto"/>
            <w:noWrap/>
            <w:vAlign w:val="center"/>
            <w:hideMark/>
          </w:tcPr>
          <w:p w14:paraId="32FF3874"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1.778411</w:t>
            </w:r>
          </w:p>
        </w:tc>
      </w:tr>
      <w:tr w:rsidR="003A0626" w:rsidRPr="00B91524" w14:paraId="298C1C02"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2FDBDF2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42</w:t>
            </w:r>
          </w:p>
        </w:tc>
        <w:tc>
          <w:tcPr>
            <w:tcW w:w="343" w:type="pct"/>
            <w:tcBorders>
              <w:top w:val="nil"/>
              <w:left w:val="nil"/>
              <w:bottom w:val="single" w:sz="4" w:space="0" w:color="auto"/>
              <w:right w:val="single" w:sz="4" w:space="0" w:color="auto"/>
            </w:tcBorders>
            <w:shd w:val="clear" w:color="auto" w:fill="auto"/>
            <w:noWrap/>
            <w:vAlign w:val="center"/>
            <w:hideMark/>
          </w:tcPr>
          <w:p w14:paraId="210D43D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29</w:t>
            </w:r>
          </w:p>
        </w:tc>
        <w:tc>
          <w:tcPr>
            <w:tcW w:w="2679" w:type="pct"/>
            <w:tcBorders>
              <w:top w:val="nil"/>
              <w:left w:val="nil"/>
              <w:bottom w:val="single" w:sz="4" w:space="0" w:color="auto"/>
              <w:right w:val="single" w:sz="4" w:space="0" w:color="auto"/>
            </w:tcBorders>
            <w:shd w:val="clear" w:color="auto" w:fill="auto"/>
            <w:noWrap/>
            <w:vAlign w:val="center"/>
            <w:hideMark/>
          </w:tcPr>
          <w:p w14:paraId="14EFA8E8"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Moved 3.8 km NE to avoid conflict with Dogger Bank C cable rote, Sofia cable route and charted cables</w:t>
            </w:r>
          </w:p>
        </w:tc>
        <w:tc>
          <w:tcPr>
            <w:tcW w:w="293" w:type="pct"/>
            <w:tcBorders>
              <w:top w:val="nil"/>
              <w:left w:val="nil"/>
              <w:bottom w:val="single" w:sz="4" w:space="0" w:color="auto"/>
              <w:right w:val="single" w:sz="4" w:space="0" w:color="auto"/>
            </w:tcBorders>
            <w:shd w:val="clear" w:color="auto" w:fill="auto"/>
            <w:noWrap/>
            <w:vAlign w:val="center"/>
            <w:hideMark/>
          </w:tcPr>
          <w:p w14:paraId="492F890C"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3FA9771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54.845680</w:t>
            </w:r>
          </w:p>
        </w:tc>
        <w:tc>
          <w:tcPr>
            <w:tcW w:w="354" w:type="pct"/>
            <w:tcBorders>
              <w:top w:val="nil"/>
              <w:left w:val="nil"/>
              <w:bottom w:val="single" w:sz="4" w:space="0" w:color="auto"/>
              <w:right w:val="single" w:sz="4" w:space="0" w:color="auto"/>
            </w:tcBorders>
            <w:shd w:val="clear" w:color="auto" w:fill="auto"/>
            <w:noWrap/>
            <w:vAlign w:val="center"/>
            <w:hideMark/>
          </w:tcPr>
          <w:p w14:paraId="634B60A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1.892749</w:t>
            </w:r>
          </w:p>
        </w:tc>
        <w:tc>
          <w:tcPr>
            <w:tcW w:w="344" w:type="pct"/>
            <w:tcBorders>
              <w:top w:val="nil"/>
              <w:left w:val="nil"/>
              <w:bottom w:val="single" w:sz="4" w:space="0" w:color="auto"/>
              <w:right w:val="single" w:sz="4" w:space="0" w:color="auto"/>
            </w:tcBorders>
            <w:shd w:val="clear" w:color="auto" w:fill="auto"/>
            <w:noWrap/>
            <w:vAlign w:val="center"/>
            <w:hideMark/>
          </w:tcPr>
          <w:p w14:paraId="5DC7238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54.866592</w:t>
            </w:r>
          </w:p>
        </w:tc>
        <w:tc>
          <w:tcPr>
            <w:tcW w:w="358" w:type="pct"/>
            <w:tcBorders>
              <w:top w:val="nil"/>
              <w:left w:val="nil"/>
              <w:bottom w:val="single" w:sz="4" w:space="0" w:color="auto"/>
              <w:right w:val="single" w:sz="4" w:space="0" w:color="auto"/>
            </w:tcBorders>
            <w:shd w:val="clear" w:color="auto" w:fill="auto"/>
            <w:noWrap/>
            <w:vAlign w:val="center"/>
            <w:hideMark/>
          </w:tcPr>
          <w:p w14:paraId="3BAAFBD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1.940119</w:t>
            </w:r>
          </w:p>
        </w:tc>
      </w:tr>
      <w:tr w:rsidR="003A0626" w:rsidRPr="00B91524" w14:paraId="0359AE8F"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7F1B355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lastRenderedPageBreak/>
              <w:t>25</w:t>
            </w:r>
          </w:p>
        </w:tc>
        <w:tc>
          <w:tcPr>
            <w:tcW w:w="343" w:type="pct"/>
            <w:tcBorders>
              <w:top w:val="nil"/>
              <w:left w:val="nil"/>
              <w:bottom w:val="single" w:sz="4" w:space="0" w:color="auto"/>
              <w:right w:val="single" w:sz="4" w:space="0" w:color="auto"/>
            </w:tcBorders>
            <w:shd w:val="clear" w:color="auto" w:fill="auto"/>
            <w:noWrap/>
            <w:vAlign w:val="center"/>
            <w:hideMark/>
          </w:tcPr>
          <w:p w14:paraId="51DA48C9"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30</w:t>
            </w:r>
          </w:p>
        </w:tc>
        <w:tc>
          <w:tcPr>
            <w:tcW w:w="2679" w:type="pct"/>
            <w:tcBorders>
              <w:top w:val="nil"/>
              <w:left w:val="nil"/>
              <w:bottom w:val="single" w:sz="4" w:space="0" w:color="auto"/>
              <w:right w:val="single" w:sz="4" w:space="0" w:color="auto"/>
            </w:tcBorders>
            <w:shd w:val="clear" w:color="auto" w:fill="auto"/>
            <w:noWrap/>
            <w:vAlign w:val="center"/>
            <w:hideMark/>
          </w:tcPr>
          <w:p w14:paraId="3E271C5D"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7D77F15A"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7D72F42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55.130802</w:t>
            </w:r>
          </w:p>
        </w:tc>
        <w:tc>
          <w:tcPr>
            <w:tcW w:w="354" w:type="pct"/>
            <w:tcBorders>
              <w:top w:val="nil"/>
              <w:left w:val="nil"/>
              <w:bottom w:val="single" w:sz="4" w:space="0" w:color="auto"/>
              <w:right w:val="single" w:sz="4" w:space="0" w:color="auto"/>
            </w:tcBorders>
            <w:shd w:val="clear" w:color="auto" w:fill="auto"/>
            <w:noWrap/>
            <w:vAlign w:val="center"/>
            <w:hideMark/>
          </w:tcPr>
          <w:p w14:paraId="3E0DF3CE"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1.918437</w:t>
            </w:r>
          </w:p>
        </w:tc>
        <w:tc>
          <w:tcPr>
            <w:tcW w:w="344" w:type="pct"/>
            <w:tcBorders>
              <w:top w:val="nil"/>
              <w:left w:val="nil"/>
              <w:bottom w:val="single" w:sz="4" w:space="0" w:color="auto"/>
              <w:right w:val="single" w:sz="4" w:space="0" w:color="auto"/>
            </w:tcBorders>
            <w:shd w:val="clear" w:color="auto" w:fill="auto"/>
            <w:noWrap/>
            <w:vAlign w:val="center"/>
            <w:hideMark/>
          </w:tcPr>
          <w:p w14:paraId="384F0C1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55.130802</w:t>
            </w:r>
          </w:p>
        </w:tc>
        <w:tc>
          <w:tcPr>
            <w:tcW w:w="358" w:type="pct"/>
            <w:tcBorders>
              <w:top w:val="nil"/>
              <w:left w:val="nil"/>
              <w:bottom w:val="single" w:sz="4" w:space="0" w:color="auto"/>
              <w:right w:val="single" w:sz="4" w:space="0" w:color="auto"/>
            </w:tcBorders>
            <w:shd w:val="clear" w:color="auto" w:fill="auto"/>
            <w:noWrap/>
            <w:vAlign w:val="center"/>
            <w:hideMark/>
          </w:tcPr>
          <w:p w14:paraId="4B908C0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1.918437</w:t>
            </w:r>
          </w:p>
        </w:tc>
      </w:tr>
      <w:tr w:rsidR="003A0626" w:rsidRPr="00B91524" w14:paraId="7BDB0905"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228A63A4"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27</w:t>
            </w:r>
          </w:p>
        </w:tc>
        <w:tc>
          <w:tcPr>
            <w:tcW w:w="343" w:type="pct"/>
            <w:tcBorders>
              <w:top w:val="nil"/>
              <w:left w:val="nil"/>
              <w:bottom w:val="single" w:sz="4" w:space="0" w:color="auto"/>
              <w:right w:val="single" w:sz="4" w:space="0" w:color="auto"/>
            </w:tcBorders>
            <w:shd w:val="clear" w:color="auto" w:fill="auto"/>
            <w:noWrap/>
            <w:vAlign w:val="center"/>
            <w:hideMark/>
          </w:tcPr>
          <w:p w14:paraId="321D4D31"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31</w:t>
            </w:r>
          </w:p>
        </w:tc>
        <w:tc>
          <w:tcPr>
            <w:tcW w:w="2679" w:type="pct"/>
            <w:tcBorders>
              <w:top w:val="nil"/>
              <w:left w:val="nil"/>
              <w:bottom w:val="single" w:sz="4" w:space="0" w:color="auto"/>
              <w:right w:val="single" w:sz="4" w:space="0" w:color="auto"/>
            </w:tcBorders>
            <w:shd w:val="clear" w:color="auto" w:fill="auto"/>
            <w:noWrap/>
            <w:vAlign w:val="center"/>
            <w:hideMark/>
          </w:tcPr>
          <w:p w14:paraId="292716A3"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5B9C29C7"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10FBAAD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55.029003</w:t>
            </w:r>
          </w:p>
        </w:tc>
        <w:tc>
          <w:tcPr>
            <w:tcW w:w="354" w:type="pct"/>
            <w:tcBorders>
              <w:top w:val="nil"/>
              <w:left w:val="nil"/>
              <w:bottom w:val="single" w:sz="4" w:space="0" w:color="auto"/>
              <w:right w:val="single" w:sz="4" w:space="0" w:color="auto"/>
            </w:tcBorders>
            <w:shd w:val="clear" w:color="auto" w:fill="auto"/>
            <w:noWrap/>
            <w:vAlign w:val="center"/>
            <w:hideMark/>
          </w:tcPr>
          <w:p w14:paraId="21D58AA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1.740601</w:t>
            </w:r>
          </w:p>
        </w:tc>
        <w:tc>
          <w:tcPr>
            <w:tcW w:w="344" w:type="pct"/>
            <w:tcBorders>
              <w:top w:val="nil"/>
              <w:left w:val="nil"/>
              <w:bottom w:val="single" w:sz="4" w:space="0" w:color="auto"/>
              <w:right w:val="single" w:sz="4" w:space="0" w:color="auto"/>
            </w:tcBorders>
            <w:shd w:val="clear" w:color="auto" w:fill="auto"/>
            <w:noWrap/>
            <w:vAlign w:val="center"/>
            <w:hideMark/>
          </w:tcPr>
          <w:p w14:paraId="18357B1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55.029003</w:t>
            </w:r>
          </w:p>
        </w:tc>
        <w:tc>
          <w:tcPr>
            <w:tcW w:w="358" w:type="pct"/>
            <w:tcBorders>
              <w:top w:val="nil"/>
              <w:left w:val="nil"/>
              <w:bottom w:val="single" w:sz="4" w:space="0" w:color="auto"/>
              <w:right w:val="single" w:sz="4" w:space="0" w:color="auto"/>
            </w:tcBorders>
            <w:shd w:val="clear" w:color="auto" w:fill="auto"/>
            <w:noWrap/>
            <w:vAlign w:val="center"/>
            <w:hideMark/>
          </w:tcPr>
          <w:p w14:paraId="56BF16D0"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1.740601</w:t>
            </w:r>
          </w:p>
        </w:tc>
      </w:tr>
      <w:tr w:rsidR="003A0626" w:rsidRPr="00B91524" w14:paraId="26D691EB"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1CF5EE6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34</w:t>
            </w:r>
          </w:p>
        </w:tc>
        <w:tc>
          <w:tcPr>
            <w:tcW w:w="343" w:type="pct"/>
            <w:tcBorders>
              <w:top w:val="nil"/>
              <w:left w:val="nil"/>
              <w:bottom w:val="single" w:sz="4" w:space="0" w:color="auto"/>
              <w:right w:val="single" w:sz="4" w:space="0" w:color="auto"/>
            </w:tcBorders>
            <w:shd w:val="clear" w:color="auto" w:fill="auto"/>
            <w:noWrap/>
            <w:vAlign w:val="center"/>
            <w:hideMark/>
          </w:tcPr>
          <w:p w14:paraId="21C7499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32</w:t>
            </w:r>
          </w:p>
        </w:tc>
        <w:tc>
          <w:tcPr>
            <w:tcW w:w="2679" w:type="pct"/>
            <w:tcBorders>
              <w:top w:val="nil"/>
              <w:left w:val="nil"/>
              <w:bottom w:val="single" w:sz="4" w:space="0" w:color="auto"/>
              <w:right w:val="single" w:sz="4" w:space="0" w:color="auto"/>
            </w:tcBorders>
            <w:shd w:val="clear" w:color="auto" w:fill="auto"/>
            <w:noWrap/>
            <w:vAlign w:val="center"/>
            <w:hideMark/>
          </w:tcPr>
          <w:p w14:paraId="756023B0"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Moved 189 m SE to avoid conflict with Dogger Bank B WTG</w:t>
            </w:r>
          </w:p>
        </w:tc>
        <w:tc>
          <w:tcPr>
            <w:tcW w:w="293" w:type="pct"/>
            <w:tcBorders>
              <w:top w:val="nil"/>
              <w:left w:val="nil"/>
              <w:bottom w:val="single" w:sz="4" w:space="0" w:color="auto"/>
              <w:right w:val="single" w:sz="4" w:space="0" w:color="auto"/>
            </w:tcBorders>
            <w:shd w:val="clear" w:color="auto" w:fill="auto"/>
            <w:noWrap/>
            <w:vAlign w:val="center"/>
            <w:hideMark/>
          </w:tcPr>
          <w:p w14:paraId="0446095B"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0DE1A9A0"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54.920132</w:t>
            </w:r>
          </w:p>
        </w:tc>
        <w:tc>
          <w:tcPr>
            <w:tcW w:w="354" w:type="pct"/>
            <w:tcBorders>
              <w:top w:val="nil"/>
              <w:left w:val="nil"/>
              <w:bottom w:val="single" w:sz="4" w:space="0" w:color="auto"/>
              <w:right w:val="single" w:sz="4" w:space="0" w:color="auto"/>
            </w:tcBorders>
            <w:shd w:val="clear" w:color="auto" w:fill="auto"/>
            <w:noWrap/>
            <w:vAlign w:val="center"/>
            <w:hideMark/>
          </w:tcPr>
          <w:p w14:paraId="25351021"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1.559801</w:t>
            </w:r>
          </w:p>
        </w:tc>
        <w:tc>
          <w:tcPr>
            <w:tcW w:w="344" w:type="pct"/>
            <w:tcBorders>
              <w:top w:val="nil"/>
              <w:left w:val="nil"/>
              <w:bottom w:val="single" w:sz="4" w:space="0" w:color="auto"/>
              <w:right w:val="single" w:sz="4" w:space="0" w:color="auto"/>
            </w:tcBorders>
            <w:shd w:val="clear" w:color="auto" w:fill="auto"/>
            <w:noWrap/>
            <w:vAlign w:val="center"/>
            <w:hideMark/>
          </w:tcPr>
          <w:p w14:paraId="7FB893E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54.919019</w:t>
            </w:r>
          </w:p>
        </w:tc>
        <w:tc>
          <w:tcPr>
            <w:tcW w:w="358" w:type="pct"/>
            <w:tcBorders>
              <w:top w:val="nil"/>
              <w:left w:val="nil"/>
              <w:bottom w:val="single" w:sz="4" w:space="0" w:color="auto"/>
              <w:right w:val="single" w:sz="4" w:space="0" w:color="auto"/>
            </w:tcBorders>
            <w:shd w:val="clear" w:color="auto" w:fill="auto"/>
            <w:noWrap/>
            <w:vAlign w:val="center"/>
            <w:hideMark/>
          </w:tcPr>
          <w:p w14:paraId="670E336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1.562027</w:t>
            </w:r>
          </w:p>
        </w:tc>
      </w:tr>
      <w:tr w:rsidR="003A0626" w:rsidRPr="00B91524" w14:paraId="034780BC"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10A8B140"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35</w:t>
            </w:r>
          </w:p>
        </w:tc>
        <w:tc>
          <w:tcPr>
            <w:tcW w:w="343" w:type="pct"/>
            <w:tcBorders>
              <w:top w:val="nil"/>
              <w:left w:val="nil"/>
              <w:bottom w:val="single" w:sz="4" w:space="0" w:color="auto"/>
              <w:right w:val="single" w:sz="4" w:space="0" w:color="auto"/>
            </w:tcBorders>
            <w:shd w:val="clear" w:color="auto" w:fill="auto"/>
            <w:noWrap/>
            <w:vAlign w:val="center"/>
            <w:hideMark/>
          </w:tcPr>
          <w:p w14:paraId="32A4A5A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33</w:t>
            </w:r>
          </w:p>
        </w:tc>
        <w:tc>
          <w:tcPr>
            <w:tcW w:w="2679" w:type="pct"/>
            <w:tcBorders>
              <w:top w:val="nil"/>
              <w:left w:val="nil"/>
              <w:bottom w:val="single" w:sz="4" w:space="0" w:color="auto"/>
              <w:right w:val="single" w:sz="4" w:space="0" w:color="auto"/>
            </w:tcBorders>
            <w:shd w:val="clear" w:color="auto" w:fill="auto"/>
            <w:noWrap/>
            <w:vAlign w:val="center"/>
            <w:hideMark/>
          </w:tcPr>
          <w:p w14:paraId="7174342F"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Moved 1502 m South to avoid conflict with transmission cable</w:t>
            </w:r>
          </w:p>
        </w:tc>
        <w:tc>
          <w:tcPr>
            <w:tcW w:w="293" w:type="pct"/>
            <w:tcBorders>
              <w:top w:val="nil"/>
              <w:left w:val="nil"/>
              <w:bottom w:val="single" w:sz="4" w:space="0" w:color="auto"/>
              <w:right w:val="single" w:sz="4" w:space="0" w:color="auto"/>
            </w:tcBorders>
            <w:shd w:val="clear" w:color="auto" w:fill="auto"/>
            <w:noWrap/>
            <w:vAlign w:val="center"/>
            <w:hideMark/>
          </w:tcPr>
          <w:p w14:paraId="1202EF94"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15ADC80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54.838284</w:t>
            </w:r>
          </w:p>
        </w:tc>
        <w:tc>
          <w:tcPr>
            <w:tcW w:w="354" w:type="pct"/>
            <w:tcBorders>
              <w:top w:val="nil"/>
              <w:left w:val="nil"/>
              <w:bottom w:val="single" w:sz="4" w:space="0" w:color="auto"/>
              <w:right w:val="single" w:sz="4" w:space="0" w:color="auto"/>
            </w:tcBorders>
            <w:shd w:val="clear" w:color="auto" w:fill="auto"/>
            <w:noWrap/>
            <w:vAlign w:val="center"/>
            <w:hideMark/>
          </w:tcPr>
          <w:p w14:paraId="46DF5E0E"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1.412593</w:t>
            </w:r>
          </w:p>
        </w:tc>
        <w:tc>
          <w:tcPr>
            <w:tcW w:w="344" w:type="pct"/>
            <w:tcBorders>
              <w:top w:val="nil"/>
              <w:left w:val="nil"/>
              <w:bottom w:val="single" w:sz="4" w:space="0" w:color="auto"/>
              <w:right w:val="single" w:sz="4" w:space="0" w:color="auto"/>
            </w:tcBorders>
            <w:shd w:val="clear" w:color="auto" w:fill="auto"/>
            <w:noWrap/>
            <w:vAlign w:val="center"/>
            <w:hideMark/>
          </w:tcPr>
          <w:p w14:paraId="02280AB1"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54.824784</w:t>
            </w:r>
          </w:p>
        </w:tc>
        <w:tc>
          <w:tcPr>
            <w:tcW w:w="358" w:type="pct"/>
            <w:tcBorders>
              <w:top w:val="nil"/>
              <w:left w:val="nil"/>
              <w:bottom w:val="single" w:sz="4" w:space="0" w:color="auto"/>
              <w:right w:val="single" w:sz="4" w:space="0" w:color="auto"/>
            </w:tcBorders>
            <w:shd w:val="clear" w:color="auto" w:fill="auto"/>
            <w:noWrap/>
            <w:vAlign w:val="center"/>
            <w:hideMark/>
          </w:tcPr>
          <w:p w14:paraId="552EE65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1.413123</w:t>
            </w:r>
          </w:p>
        </w:tc>
      </w:tr>
      <w:tr w:rsidR="003A0626" w:rsidRPr="00B91524" w14:paraId="75D43531"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692270B4"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28</w:t>
            </w:r>
          </w:p>
        </w:tc>
        <w:tc>
          <w:tcPr>
            <w:tcW w:w="343" w:type="pct"/>
            <w:tcBorders>
              <w:top w:val="nil"/>
              <w:left w:val="nil"/>
              <w:bottom w:val="single" w:sz="4" w:space="0" w:color="auto"/>
              <w:right w:val="single" w:sz="4" w:space="0" w:color="auto"/>
            </w:tcBorders>
            <w:shd w:val="clear" w:color="auto" w:fill="auto"/>
            <w:noWrap/>
            <w:vAlign w:val="center"/>
            <w:hideMark/>
          </w:tcPr>
          <w:p w14:paraId="694AA360"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34</w:t>
            </w:r>
          </w:p>
        </w:tc>
        <w:tc>
          <w:tcPr>
            <w:tcW w:w="2679" w:type="pct"/>
            <w:tcBorders>
              <w:top w:val="nil"/>
              <w:left w:val="nil"/>
              <w:bottom w:val="single" w:sz="4" w:space="0" w:color="auto"/>
              <w:right w:val="single" w:sz="4" w:space="0" w:color="auto"/>
            </w:tcBorders>
            <w:shd w:val="clear" w:color="auto" w:fill="auto"/>
            <w:noWrap/>
            <w:vAlign w:val="center"/>
            <w:hideMark/>
          </w:tcPr>
          <w:p w14:paraId="6F6A7FA0"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Moved 579 m East to avoid conflict with Dogger Bank B WTG</w:t>
            </w:r>
          </w:p>
        </w:tc>
        <w:tc>
          <w:tcPr>
            <w:tcW w:w="293" w:type="pct"/>
            <w:tcBorders>
              <w:top w:val="nil"/>
              <w:left w:val="nil"/>
              <w:bottom w:val="single" w:sz="4" w:space="0" w:color="auto"/>
              <w:right w:val="single" w:sz="4" w:space="0" w:color="auto"/>
            </w:tcBorders>
            <w:shd w:val="clear" w:color="auto" w:fill="auto"/>
            <w:noWrap/>
            <w:vAlign w:val="center"/>
            <w:hideMark/>
          </w:tcPr>
          <w:p w14:paraId="63AF1096"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4E1C473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54.976305</w:t>
            </w:r>
          </w:p>
        </w:tc>
        <w:tc>
          <w:tcPr>
            <w:tcW w:w="354" w:type="pct"/>
            <w:tcBorders>
              <w:top w:val="nil"/>
              <w:left w:val="nil"/>
              <w:bottom w:val="single" w:sz="4" w:space="0" w:color="auto"/>
              <w:right w:val="single" w:sz="4" w:space="0" w:color="auto"/>
            </w:tcBorders>
            <w:shd w:val="clear" w:color="auto" w:fill="auto"/>
            <w:noWrap/>
            <w:vAlign w:val="center"/>
            <w:hideMark/>
          </w:tcPr>
          <w:p w14:paraId="2DE62649"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1.859158</w:t>
            </w:r>
          </w:p>
        </w:tc>
        <w:tc>
          <w:tcPr>
            <w:tcW w:w="344" w:type="pct"/>
            <w:tcBorders>
              <w:top w:val="nil"/>
              <w:left w:val="nil"/>
              <w:bottom w:val="single" w:sz="4" w:space="0" w:color="auto"/>
              <w:right w:val="single" w:sz="4" w:space="0" w:color="auto"/>
            </w:tcBorders>
            <w:shd w:val="clear" w:color="auto" w:fill="auto"/>
            <w:noWrap/>
            <w:vAlign w:val="center"/>
            <w:hideMark/>
          </w:tcPr>
          <w:p w14:paraId="715795A9"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54.976503</w:t>
            </w:r>
          </w:p>
        </w:tc>
        <w:tc>
          <w:tcPr>
            <w:tcW w:w="358" w:type="pct"/>
            <w:tcBorders>
              <w:top w:val="nil"/>
              <w:left w:val="nil"/>
              <w:bottom w:val="single" w:sz="4" w:space="0" w:color="auto"/>
              <w:right w:val="single" w:sz="4" w:space="0" w:color="auto"/>
            </w:tcBorders>
            <w:shd w:val="clear" w:color="auto" w:fill="auto"/>
            <w:noWrap/>
            <w:vAlign w:val="center"/>
            <w:hideMark/>
          </w:tcPr>
          <w:p w14:paraId="481557C0"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1.868197</w:t>
            </w:r>
          </w:p>
        </w:tc>
      </w:tr>
      <w:tr w:rsidR="003A0626" w:rsidRPr="00B91524" w14:paraId="4E937019"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69098DD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33</w:t>
            </w:r>
          </w:p>
        </w:tc>
        <w:tc>
          <w:tcPr>
            <w:tcW w:w="343" w:type="pct"/>
            <w:tcBorders>
              <w:top w:val="nil"/>
              <w:left w:val="nil"/>
              <w:bottom w:val="single" w:sz="4" w:space="0" w:color="auto"/>
              <w:right w:val="single" w:sz="4" w:space="0" w:color="auto"/>
            </w:tcBorders>
            <w:shd w:val="clear" w:color="auto" w:fill="auto"/>
            <w:noWrap/>
            <w:vAlign w:val="center"/>
            <w:hideMark/>
          </w:tcPr>
          <w:p w14:paraId="2E93407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35</w:t>
            </w:r>
          </w:p>
        </w:tc>
        <w:tc>
          <w:tcPr>
            <w:tcW w:w="2679" w:type="pct"/>
            <w:tcBorders>
              <w:top w:val="nil"/>
              <w:left w:val="nil"/>
              <w:bottom w:val="single" w:sz="4" w:space="0" w:color="auto"/>
              <w:right w:val="single" w:sz="4" w:space="0" w:color="auto"/>
            </w:tcBorders>
            <w:shd w:val="clear" w:color="auto" w:fill="auto"/>
            <w:noWrap/>
            <w:vAlign w:val="center"/>
            <w:hideMark/>
          </w:tcPr>
          <w:p w14:paraId="621C89B1"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Moved 1216 m SE to avoid conflict with Dogger Bank B WTG and SEAL pipeline</w:t>
            </w:r>
          </w:p>
        </w:tc>
        <w:tc>
          <w:tcPr>
            <w:tcW w:w="293" w:type="pct"/>
            <w:tcBorders>
              <w:top w:val="nil"/>
              <w:left w:val="nil"/>
              <w:bottom w:val="single" w:sz="4" w:space="0" w:color="auto"/>
              <w:right w:val="single" w:sz="4" w:space="0" w:color="auto"/>
            </w:tcBorders>
            <w:shd w:val="clear" w:color="auto" w:fill="auto"/>
            <w:noWrap/>
            <w:vAlign w:val="center"/>
            <w:hideMark/>
          </w:tcPr>
          <w:p w14:paraId="7BDB262F"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2154E5F1"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54.971769</w:t>
            </w:r>
          </w:p>
        </w:tc>
        <w:tc>
          <w:tcPr>
            <w:tcW w:w="354" w:type="pct"/>
            <w:tcBorders>
              <w:top w:val="nil"/>
              <w:left w:val="nil"/>
              <w:bottom w:val="single" w:sz="4" w:space="0" w:color="auto"/>
              <w:right w:val="single" w:sz="4" w:space="0" w:color="auto"/>
            </w:tcBorders>
            <w:shd w:val="clear" w:color="auto" w:fill="auto"/>
            <w:noWrap/>
            <w:vAlign w:val="center"/>
            <w:hideMark/>
          </w:tcPr>
          <w:p w14:paraId="5106149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1.487679</w:t>
            </w:r>
          </w:p>
        </w:tc>
        <w:tc>
          <w:tcPr>
            <w:tcW w:w="344" w:type="pct"/>
            <w:tcBorders>
              <w:top w:val="nil"/>
              <w:left w:val="nil"/>
              <w:bottom w:val="single" w:sz="4" w:space="0" w:color="auto"/>
              <w:right w:val="single" w:sz="4" w:space="0" w:color="auto"/>
            </w:tcBorders>
            <w:shd w:val="clear" w:color="auto" w:fill="auto"/>
            <w:noWrap/>
            <w:vAlign w:val="center"/>
            <w:hideMark/>
          </w:tcPr>
          <w:p w14:paraId="71517824"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54.969709</w:t>
            </w:r>
          </w:p>
        </w:tc>
        <w:tc>
          <w:tcPr>
            <w:tcW w:w="358" w:type="pct"/>
            <w:tcBorders>
              <w:top w:val="nil"/>
              <w:left w:val="nil"/>
              <w:bottom w:val="single" w:sz="4" w:space="0" w:color="auto"/>
              <w:right w:val="single" w:sz="4" w:space="0" w:color="auto"/>
            </w:tcBorders>
            <w:shd w:val="clear" w:color="auto" w:fill="auto"/>
            <w:noWrap/>
            <w:vAlign w:val="center"/>
            <w:hideMark/>
          </w:tcPr>
          <w:p w14:paraId="5D7AE441"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1.506335</w:t>
            </w:r>
          </w:p>
        </w:tc>
      </w:tr>
      <w:tr w:rsidR="003A0626" w:rsidRPr="00B91524" w14:paraId="3F007813"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09404AC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26</w:t>
            </w:r>
          </w:p>
        </w:tc>
        <w:tc>
          <w:tcPr>
            <w:tcW w:w="343" w:type="pct"/>
            <w:tcBorders>
              <w:top w:val="nil"/>
              <w:left w:val="nil"/>
              <w:bottom w:val="single" w:sz="4" w:space="0" w:color="auto"/>
              <w:right w:val="single" w:sz="4" w:space="0" w:color="auto"/>
            </w:tcBorders>
            <w:shd w:val="clear" w:color="auto" w:fill="auto"/>
            <w:noWrap/>
            <w:vAlign w:val="center"/>
            <w:hideMark/>
          </w:tcPr>
          <w:p w14:paraId="0282342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36</w:t>
            </w:r>
          </w:p>
        </w:tc>
        <w:tc>
          <w:tcPr>
            <w:tcW w:w="2679" w:type="pct"/>
            <w:tcBorders>
              <w:top w:val="nil"/>
              <w:left w:val="nil"/>
              <w:bottom w:val="single" w:sz="4" w:space="0" w:color="auto"/>
              <w:right w:val="single" w:sz="4" w:space="0" w:color="auto"/>
            </w:tcBorders>
            <w:shd w:val="clear" w:color="auto" w:fill="auto"/>
            <w:noWrap/>
            <w:vAlign w:val="center"/>
            <w:hideMark/>
          </w:tcPr>
          <w:p w14:paraId="58186170"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Moved 729 m North to avoid conflict with Dogger Bank B WTG</w:t>
            </w:r>
          </w:p>
        </w:tc>
        <w:tc>
          <w:tcPr>
            <w:tcW w:w="293" w:type="pct"/>
            <w:tcBorders>
              <w:top w:val="nil"/>
              <w:left w:val="nil"/>
              <w:bottom w:val="single" w:sz="4" w:space="0" w:color="auto"/>
              <w:right w:val="single" w:sz="4" w:space="0" w:color="auto"/>
            </w:tcBorders>
            <w:shd w:val="clear" w:color="auto" w:fill="auto"/>
            <w:noWrap/>
            <w:vAlign w:val="center"/>
            <w:hideMark/>
          </w:tcPr>
          <w:p w14:paraId="3A5EDD48"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645BEA9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55.100290</w:t>
            </w:r>
          </w:p>
        </w:tc>
        <w:tc>
          <w:tcPr>
            <w:tcW w:w="354" w:type="pct"/>
            <w:tcBorders>
              <w:top w:val="nil"/>
              <w:left w:val="nil"/>
              <w:bottom w:val="single" w:sz="4" w:space="0" w:color="auto"/>
              <w:right w:val="single" w:sz="4" w:space="0" w:color="auto"/>
            </w:tcBorders>
            <w:shd w:val="clear" w:color="auto" w:fill="auto"/>
            <w:noWrap/>
            <w:vAlign w:val="center"/>
            <w:hideMark/>
          </w:tcPr>
          <w:p w14:paraId="3543C87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1.684286</w:t>
            </w:r>
          </w:p>
        </w:tc>
        <w:tc>
          <w:tcPr>
            <w:tcW w:w="344" w:type="pct"/>
            <w:tcBorders>
              <w:top w:val="nil"/>
              <w:left w:val="nil"/>
              <w:bottom w:val="single" w:sz="4" w:space="0" w:color="auto"/>
              <w:right w:val="single" w:sz="4" w:space="0" w:color="auto"/>
            </w:tcBorders>
            <w:shd w:val="clear" w:color="auto" w:fill="auto"/>
            <w:noWrap/>
            <w:vAlign w:val="center"/>
            <w:hideMark/>
          </w:tcPr>
          <w:p w14:paraId="046DA79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55.106835</w:t>
            </w:r>
          </w:p>
        </w:tc>
        <w:tc>
          <w:tcPr>
            <w:tcW w:w="358" w:type="pct"/>
            <w:tcBorders>
              <w:top w:val="nil"/>
              <w:left w:val="nil"/>
              <w:bottom w:val="single" w:sz="4" w:space="0" w:color="auto"/>
              <w:right w:val="single" w:sz="4" w:space="0" w:color="auto"/>
            </w:tcBorders>
            <w:shd w:val="clear" w:color="auto" w:fill="auto"/>
            <w:noWrap/>
            <w:vAlign w:val="center"/>
            <w:hideMark/>
          </w:tcPr>
          <w:p w14:paraId="7DC30E1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1.683614</w:t>
            </w:r>
          </w:p>
        </w:tc>
      </w:tr>
      <w:tr w:rsidR="003A0626" w:rsidRPr="00B91524" w14:paraId="2A5417B6"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100B442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37</w:t>
            </w:r>
          </w:p>
        </w:tc>
        <w:tc>
          <w:tcPr>
            <w:tcW w:w="343" w:type="pct"/>
            <w:tcBorders>
              <w:top w:val="nil"/>
              <w:left w:val="nil"/>
              <w:bottom w:val="single" w:sz="4" w:space="0" w:color="auto"/>
              <w:right w:val="single" w:sz="4" w:space="0" w:color="auto"/>
            </w:tcBorders>
            <w:shd w:val="clear" w:color="auto" w:fill="auto"/>
            <w:noWrap/>
            <w:vAlign w:val="center"/>
            <w:hideMark/>
          </w:tcPr>
          <w:p w14:paraId="1B423814"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37</w:t>
            </w:r>
          </w:p>
        </w:tc>
        <w:tc>
          <w:tcPr>
            <w:tcW w:w="2679" w:type="pct"/>
            <w:tcBorders>
              <w:top w:val="nil"/>
              <w:left w:val="nil"/>
              <w:bottom w:val="single" w:sz="4" w:space="0" w:color="auto"/>
              <w:right w:val="single" w:sz="4" w:space="0" w:color="auto"/>
            </w:tcBorders>
            <w:shd w:val="clear" w:color="auto" w:fill="auto"/>
            <w:noWrap/>
            <w:vAlign w:val="center"/>
            <w:hideMark/>
          </w:tcPr>
          <w:p w14:paraId="566E1BAD"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Moved 978 m North to avoid conflict with Dogger Bank B WTG</w:t>
            </w:r>
          </w:p>
        </w:tc>
        <w:tc>
          <w:tcPr>
            <w:tcW w:w="293" w:type="pct"/>
            <w:tcBorders>
              <w:top w:val="nil"/>
              <w:left w:val="nil"/>
              <w:bottom w:val="single" w:sz="4" w:space="0" w:color="auto"/>
              <w:right w:val="single" w:sz="4" w:space="0" w:color="auto"/>
            </w:tcBorders>
            <w:shd w:val="clear" w:color="auto" w:fill="auto"/>
            <w:noWrap/>
            <w:vAlign w:val="center"/>
            <w:hideMark/>
          </w:tcPr>
          <w:p w14:paraId="59288F77"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0414BD59"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54.866154</w:t>
            </w:r>
          </w:p>
        </w:tc>
        <w:tc>
          <w:tcPr>
            <w:tcW w:w="354" w:type="pct"/>
            <w:tcBorders>
              <w:top w:val="nil"/>
              <w:left w:val="nil"/>
              <w:bottom w:val="single" w:sz="4" w:space="0" w:color="auto"/>
              <w:right w:val="single" w:sz="4" w:space="0" w:color="auto"/>
            </w:tcBorders>
            <w:shd w:val="clear" w:color="auto" w:fill="auto"/>
            <w:noWrap/>
            <w:vAlign w:val="center"/>
            <w:hideMark/>
          </w:tcPr>
          <w:p w14:paraId="2AB0AF2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1.672431</w:t>
            </w:r>
          </w:p>
        </w:tc>
        <w:tc>
          <w:tcPr>
            <w:tcW w:w="344" w:type="pct"/>
            <w:tcBorders>
              <w:top w:val="nil"/>
              <w:left w:val="nil"/>
              <w:bottom w:val="single" w:sz="4" w:space="0" w:color="auto"/>
              <w:right w:val="single" w:sz="4" w:space="0" w:color="auto"/>
            </w:tcBorders>
            <w:shd w:val="clear" w:color="auto" w:fill="auto"/>
            <w:noWrap/>
            <w:vAlign w:val="center"/>
            <w:hideMark/>
          </w:tcPr>
          <w:p w14:paraId="573BA73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54.874947</w:t>
            </w:r>
          </w:p>
        </w:tc>
        <w:tc>
          <w:tcPr>
            <w:tcW w:w="358" w:type="pct"/>
            <w:tcBorders>
              <w:top w:val="nil"/>
              <w:left w:val="nil"/>
              <w:bottom w:val="single" w:sz="4" w:space="0" w:color="auto"/>
              <w:right w:val="single" w:sz="4" w:space="0" w:color="auto"/>
            </w:tcBorders>
            <w:shd w:val="clear" w:color="auto" w:fill="auto"/>
            <w:noWrap/>
            <w:vAlign w:val="center"/>
            <w:hideMark/>
          </w:tcPr>
          <w:p w14:paraId="268A7FC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1.672142</w:t>
            </w:r>
          </w:p>
        </w:tc>
      </w:tr>
      <w:tr w:rsidR="003A0626" w:rsidRPr="00B91524" w14:paraId="1BBDFC80"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771E599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36</w:t>
            </w:r>
          </w:p>
        </w:tc>
        <w:tc>
          <w:tcPr>
            <w:tcW w:w="343" w:type="pct"/>
            <w:tcBorders>
              <w:top w:val="nil"/>
              <w:left w:val="nil"/>
              <w:bottom w:val="single" w:sz="4" w:space="0" w:color="auto"/>
              <w:right w:val="single" w:sz="4" w:space="0" w:color="auto"/>
            </w:tcBorders>
            <w:shd w:val="clear" w:color="auto" w:fill="auto"/>
            <w:noWrap/>
            <w:vAlign w:val="center"/>
            <w:hideMark/>
          </w:tcPr>
          <w:p w14:paraId="6260B439"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38</w:t>
            </w:r>
          </w:p>
        </w:tc>
        <w:tc>
          <w:tcPr>
            <w:tcW w:w="2679" w:type="pct"/>
            <w:tcBorders>
              <w:top w:val="nil"/>
              <w:left w:val="nil"/>
              <w:bottom w:val="single" w:sz="4" w:space="0" w:color="auto"/>
              <w:right w:val="single" w:sz="4" w:space="0" w:color="auto"/>
            </w:tcBorders>
            <w:shd w:val="clear" w:color="auto" w:fill="auto"/>
            <w:noWrap/>
            <w:vAlign w:val="center"/>
            <w:hideMark/>
          </w:tcPr>
          <w:p w14:paraId="32EEE6F8"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121F8007"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5D7F4E6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54.787045</w:t>
            </w:r>
          </w:p>
        </w:tc>
        <w:tc>
          <w:tcPr>
            <w:tcW w:w="354" w:type="pct"/>
            <w:tcBorders>
              <w:top w:val="nil"/>
              <w:left w:val="nil"/>
              <w:bottom w:val="single" w:sz="4" w:space="0" w:color="auto"/>
              <w:right w:val="single" w:sz="4" w:space="0" w:color="auto"/>
            </w:tcBorders>
            <w:shd w:val="clear" w:color="auto" w:fill="auto"/>
            <w:noWrap/>
            <w:vAlign w:val="center"/>
            <w:hideMark/>
          </w:tcPr>
          <w:p w14:paraId="77EFB8A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1.571657</w:t>
            </w:r>
          </w:p>
        </w:tc>
        <w:tc>
          <w:tcPr>
            <w:tcW w:w="344" w:type="pct"/>
            <w:tcBorders>
              <w:top w:val="nil"/>
              <w:left w:val="nil"/>
              <w:bottom w:val="single" w:sz="4" w:space="0" w:color="auto"/>
              <w:right w:val="single" w:sz="4" w:space="0" w:color="auto"/>
            </w:tcBorders>
            <w:shd w:val="clear" w:color="auto" w:fill="auto"/>
            <w:noWrap/>
            <w:vAlign w:val="center"/>
            <w:hideMark/>
          </w:tcPr>
          <w:p w14:paraId="428BECC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54.787045</w:t>
            </w:r>
          </w:p>
        </w:tc>
        <w:tc>
          <w:tcPr>
            <w:tcW w:w="358" w:type="pct"/>
            <w:tcBorders>
              <w:top w:val="nil"/>
              <w:left w:val="nil"/>
              <w:bottom w:val="single" w:sz="4" w:space="0" w:color="auto"/>
              <w:right w:val="single" w:sz="4" w:space="0" w:color="auto"/>
            </w:tcBorders>
            <w:shd w:val="clear" w:color="auto" w:fill="auto"/>
            <w:noWrap/>
            <w:vAlign w:val="center"/>
            <w:hideMark/>
          </w:tcPr>
          <w:p w14:paraId="0D088AB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1.571657</w:t>
            </w:r>
          </w:p>
        </w:tc>
      </w:tr>
      <w:tr w:rsidR="003A0626" w:rsidRPr="00B91524" w14:paraId="328B949A"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628C7D8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38</w:t>
            </w:r>
          </w:p>
        </w:tc>
        <w:tc>
          <w:tcPr>
            <w:tcW w:w="343" w:type="pct"/>
            <w:tcBorders>
              <w:top w:val="nil"/>
              <w:left w:val="nil"/>
              <w:bottom w:val="single" w:sz="4" w:space="0" w:color="auto"/>
              <w:right w:val="single" w:sz="4" w:space="0" w:color="auto"/>
            </w:tcBorders>
            <w:shd w:val="clear" w:color="auto" w:fill="auto"/>
            <w:noWrap/>
            <w:vAlign w:val="center"/>
            <w:hideMark/>
          </w:tcPr>
          <w:p w14:paraId="42B9C69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39</w:t>
            </w:r>
          </w:p>
        </w:tc>
        <w:tc>
          <w:tcPr>
            <w:tcW w:w="2679" w:type="pct"/>
            <w:tcBorders>
              <w:top w:val="nil"/>
              <w:left w:val="nil"/>
              <w:bottom w:val="single" w:sz="4" w:space="0" w:color="auto"/>
              <w:right w:val="single" w:sz="4" w:space="0" w:color="auto"/>
            </w:tcBorders>
            <w:shd w:val="clear" w:color="auto" w:fill="auto"/>
            <w:noWrap/>
            <w:vAlign w:val="center"/>
            <w:hideMark/>
          </w:tcPr>
          <w:p w14:paraId="6C04816B"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03E5DBAA"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2428AA8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54.789894</w:t>
            </w:r>
          </w:p>
        </w:tc>
        <w:tc>
          <w:tcPr>
            <w:tcW w:w="354" w:type="pct"/>
            <w:tcBorders>
              <w:top w:val="nil"/>
              <w:left w:val="nil"/>
              <w:bottom w:val="single" w:sz="4" w:space="0" w:color="auto"/>
              <w:right w:val="single" w:sz="4" w:space="0" w:color="auto"/>
            </w:tcBorders>
            <w:shd w:val="clear" w:color="auto" w:fill="auto"/>
            <w:noWrap/>
            <w:vAlign w:val="center"/>
            <w:hideMark/>
          </w:tcPr>
          <w:p w14:paraId="4723B9F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1.713926</w:t>
            </w:r>
          </w:p>
        </w:tc>
        <w:tc>
          <w:tcPr>
            <w:tcW w:w="344" w:type="pct"/>
            <w:tcBorders>
              <w:top w:val="nil"/>
              <w:left w:val="nil"/>
              <w:bottom w:val="single" w:sz="4" w:space="0" w:color="auto"/>
              <w:right w:val="single" w:sz="4" w:space="0" w:color="auto"/>
            </w:tcBorders>
            <w:shd w:val="clear" w:color="auto" w:fill="auto"/>
            <w:noWrap/>
            <w:vAlign w:val="center"/>
            <w:hideMark/>
          </w:tcPr>
          <w:p w14:paraId="40A305C9"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54.789894</w:t>
            </w:r>
          </w:p>
        </w:tc>
        <w:tc>
          <w:tcPr>
            <w:tcW w:w="358" w:type="pct"/>
            <w:tcBorders>
              <w:top w:val="nil"/>
              <w:left w:val="nil"/>
              <w:bottom w:val="single" w:sz="4" w:space="0" w:color="auto"/>
              <w:right w:val="single" w:sz="4" w:space="0" w:color="auto"/>
            </w:tcBorders>
            <w:shd w:val="clear" w:color="auto" w:fill="auto"/>
            <w:noWrap/>
            <w:vAlign w:val="center"/>
            <w:hideMark/>
          </w:tcPr>
          <w:p w14:paraId="4921D8E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1.713926</w:t>
            </w:r>
          </w:p>
        </w:tc>
      </w:tr>
      <w:tr w:rsidR="003A0626" w:rsidRPr="00B91524" w14:paraId="5AACA3AC"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2FD09AA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41</w:t>
            </w:r>
          </w:p>
        </w:tc>
        <w:tc>
          <w:tcPr>
            <w:tcW w:w="343" w:type="pct"/>
            <w:tcBorders>
              <w:top w:val="nil"/>
              <w:left w:val="nil"/>
              <w:bottom w:val="single" w:sz="4" w:space="0" w:color="auto"/>
              <w:right w:val="single" w:sz="4" w:space="0" w:color="auto"/>
            </w:tcBorders>
            <w:shd w:val="clear" w:color="auto" w:fill="auto"/>
            <w:noWrap/>
            <w:vAlign w:val="center"/>
            <w:hideMark/>
          </w:tcPr>
          <w:p w14:paraId="70C905A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40</w:t>
            </w:r>
          </w:p>
        </w:tc>
        <w:tc>
          <w:tcPr>
            <w:tcW w:w="2679" w:type="pct"/>
            <w:tcBorders>
              <w:top w:val="nil"/>
              <w:left w:val="nil"/>
              <w:bottom w:val="single" w:sz="4" w:space="0" w:color="auto"/>
              <w:right w:val="single" w:sz="4" w:space="0" w:color="auto"/>
            </w:tcBorders>
            <w:shd w:val="clear" w:color="auto" w:fill="auto"/>
            <w:noWrap/>
            <w:vAlign w:val="center"/>
            <w:hideMark/>
          </w:tcPr>
          <w:p w14:paraId="6AEAB879"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Moved 874 m SE to avoid conflict with Dogger Bank A WTG</w:t>
            </w:r>
          </w:p>
        </w:tc>
        <w:tc>
          <w:tcPr>
            <w:tcW w:w="293" w:type="pct"/>
            <w:tcBorders>
              <w:top w:val="nil"/>
              <w:left w:val="nil"/>
              <w:bottom w:val="single" w:sz="4" w:space="0" w:color="auto"/>
              <w:right w:val="single" w:sz="4" w:space="0" w:color="auto"/>
            </w:tcBorders>
            <w:shd w:val="clear" w:color="auto" w:fill="auto"/>
            <w:noWrap/>
            <w:vAlign w:val="center"/>
            <w:hideMark/>
          </w:tcPr>
          <w:p w14:paraId="49B3EDDF"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16B95DD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54.764822</w:t>
            </w:r>
          </w:p>
        </w:tc>
        <w:tc>
          <w:tcPr>
            <w:tcW w:w="354" w:type="pct"/>
            <w:tcBorders>
              <w:top w:val="nil"/>
              <w:left w:val="nil"/>
              <w:bottom w:val="single" w:sz="4" w:space="0" w:color="auto"/>
              <w:right w:val="single" w:sz="4" w:space="0" w:color="auto"/>
            </w:tcBorders>
            <w:shd w:val="clear" w:color="auto" w:fill="auto"/>
            <w:noWrap/>
            <w:vAlign w:val="center"/>
            <w:hideMark/>
          </w:tcPr>
          <w:p w14:paraId="605245DE"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1.895713</w:t>
            </w:r>
          </w:p>
        </w:tc>
        <w:tc>
          <w:tcPr>
            <w:tcW w:w="344" w:type="pct"/>
            <w:tcBorders>
              <w:top w:val="nil"/>
              <w:left w:val="nil"/>
              <w:bottom w:val="single" w:sz="4" w:space="0" w:color="auto"/>
              <w:right w:val="single" w:sz="4" w:space="0" w:color="auto"/>
            </w:tcBorders>
            <w:shd w:val="clear" w:color="auto" w:fill="auto"/>
            <w:noWrap/>
            <w:vAlign w:val="center"/>
            <w:hideMark/>
          </w:tcPr>
          <w:p w14:paraId="4F4F2F0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54.757452</w:t>
            </w:r>
          </w:p>
        </w:tc>
        <w:tc>
          <w:tcPr>
            <w:tcW w:w="358" w:type="pct"/>
            <w:tcBorders>
              <w:top w:val="nil"/>
              <w:left w:val="nil"/>
              <w:bottom w:val="single" w:sz="4" w:space="0" w:color="auto"/>
              <w:right w:val="single" w:sz="4" w:space="0" w:color="auto"/>
            </w:tcBorders>
            <w:shd w:val="clear" w:color="auto" w:fill="auto"/>
            <w:noWrap/>
            <w:vAlign w:val="center"/>
            <w:hideMark/>
          </w:tcPr>
          <w:p w14:paraId="2BCC60D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1.900421</w:t>
            </w:r>
          </w:p>
        </w:tc>
      </w:tr>
      <w:tr w:rsidR="003A0626" w:rsidRPr="00B91524" w14:paraId="0933BF84"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2C0FEFD4"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43</w:t>
            </w:r>
          </w:p>
        </w:tc>
        <w:tc>
          <w:tcPr>
            <w:tcW w:w="343" w:type="pct"/>
            <w:tcBorders>
              <w:top w:val="nil"/>
              <w:left w:val="nil"/>
              <w:bottom w:val="single" w:sz="4" w:space="0" w:color="auto"/>
              <w:right w:val="single" w:sz="4" w:space="0" w:color="auto"/>
            </w:tcBorders>
            <w:shd w:val="clear" w:color="auto" w:fill="auto"/>
            <w:noWrap/>
            <w:vAlign w:val="center"/>
            <w:hideMark/>
          </w:tcPr>
          <w:p w14:paraId="7A70528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41</w:t>
            </w:r>
          </w:p>
        </w:tc>
        <w:tc>
          <w:tcPr>
            <w:tcW w:w="2679" w:type="pct"/>
            <w:tcBorders>
              <w:top w:val="nil"/>
              <w:left w:val="nil"/>
              <w:bottom w:val="single" w:sz="4" w:space="0" w:color="auto"/>
              <w:right w:val="single" w:sz="4" w:space="0" w:color="auto"/>
            </w:tcBorders>
            <w:shd w:val="clear" w:color="auto" w:fill="auto"/>
            <w:noWrap/>
            <w:vAlign w:val="center"/>
            <w:hideMark/>
          </w:tcPr>
          <w:p w14:paraId="421B264A"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Moved 45 m NW to avoid conflict with Dogger Bank A WTG</w:t>
            </w:r>
          </w:p>
        </w:tc>
        <w:tc>
          <w:tcPr>
            <w:tcW w:w="293" w:type="pct"/>
            <w:tcBorders>
              <w:top w:val="nil"/>
              <w:left w:val="nil"/>
              <w:bottom w:val="single" w:sz="4" w:space="0" w:color="auto"/>
              <w:right w:val="single" w:sz="4" w:space="0" w:color="auto"/>
            </w:tcBorders>
            <w:shd w:val="clear" w:color="auto" w:fill="auto"/>
            <w:noWrap/>
            <w:vAlign w:val="center"/>
            <w:hideMark/>
          </w:tcPr>
          <w:p w14:paraId="2698BA87"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4C38981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54.791033</w:t>
            </w:r>
          </w:p>
        </w:tc>
        <w:tc>
          <w:tcPr>
            <w:tcW w:w="354" w:type="pct"/>
            <w:tcBorders>
              <w:top w:val="nil"/>
              <w:left w:val="nil"/>
              <w:bottom w:val="single" w:sz="4" w:space="0" w:color="auto"/>
              <w:right w:val="single" w:sz="4" w:space="0" w:color="auto"/>
            </w:tcBorders>
            <w:shd w:val="clear" w:color="auto" w:fill="auto"/>
            <w:noWrap/>
            <w:vAlign w:val="center"/>
            <w:hideMark/>
          </w:tcPr>
          <w:p w14:paraId="3230B740"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2.089356</w:t>
            </w:r>
          </w:p>
        </w:tc>
        <w:tc>
          <w:tcPr>
            <w:tcW w:w="344" w:type="pct"/>
            <w:tcBorders>
              <w:top w:val="nil"/>
              <w:left w:val="nil"/>
              <w:bottom w:val="single" w:sz="4" w:space="0" w:color="auto"/>
              <w:right w:val="single" w:sz="4" w:space="0" w:color="auto"/>
            </w:tcBorders>
            <w:shd w:val="clear" w:color="auto" w:fill="auto"/>
            <w:noWrap/>
            <w:vAlign w:val="center"/>
            <w:hideMark/>
          </w:tcPr>
          <w:p w14:paraId="11F2F1D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54.791172</w:t>
            </w:r>
          </w:p>
        </w:tc>
        <w:tc>
          <w:tcPr>
            <w:tcW w:w="358" w:type="pct"/>
            <w:tcBorders>
              <w:top w:val="nil"/>
              <w:left w:val="nil"/>
              <w:bottom w:val="single" w:sz="4" w:space="0" w:color="auto"/>
              <w:right w:val="single" w:sz="4" w:space="0" w:color="auto"/>
            </w:tcBorders>
            <w:shd w:val="clear" w:color="auto" w:fill="auto"/>
            <w:noWrap/>
            <w:vAlign w:val="center"/>
            <w:hideMark/>
          </w:tcPr>
          <w:p w14:paraId="3035561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2.088688</w:t>
            </w:r>
          </w:p>
        </w:tc>
      </w:tr>
      <w:tr w:rsidR="003A0626" w:rsidRPr="00B91524" w14:paraId="3E3F9BD8"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2146EFA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40</w:t>
            </w:r>
          </w:p>
        </w:tc>
        <w:tc>
          <w:tcPr>
            <w:tcW w:w="343" w:type="pct"/>
            <w:tcBorders>
              <w:top w:val="nil"/>
              <w:left w:val="nil"/>
              <w:bottom w:val="single" w:sz="4" w:space="0" w:color="auto"/>
              <w:right w:val="single" w:sz="4" w:space="0" w:color="auto"/>
            </w:tcBorders>
            <w:shd w:val="clear" w:color="auto" w:fill="auto"/>
            <w:noWrap/>
            <w:vAlign w:val="center"/>
            <w:hideMark/>
          </w:tcPr>
          <w:p w14:paraId="396515E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42</w:t>
            </w:r>
          </w:p>
        </w:tc>
        <w:tc>
          <w:tcPr>
            <w:tcW w:w="2679" w:type="pct"/>
            <w:tcBorders>
              <w:top w:val="nil"/>
              <w:left w:val="nil"/>
              <w:bottom w:val="single" w:sz="4" w:space="0" w:color="auto"/>
              <w:right w:val="single" w:sz="4" w:space="0" w:color="auto"/>
            </w:tcBorders>
            <w:shd w:val="clear" w:color="auto" w:fill="auto"/>
            <w:noWrap/>
            <w:vAlign w:val="center"/>
            <w:hideMark/>
          </w:tcPr>
          <w:p w14:paraId="76058A17"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4D8F9262"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17EFA78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54.705499</w:t>
            </w:r>
          </w:p>
        </w:tc>
        <w:tc>
          <w:tcPr>
            <w:tcW w:w="354" w:type="pct"/>
            <w:tcBorders>
              <w:top w:val="nil"/>
              <w:left w:val="nil"/>
              <w:bottom w:val="single" w:sz="4" w:space="0" w:color="auto"/>
              <w:right w:val="single" w:sz="4" w:space="0" w:color="auto"/>
            </w:tcBorders>
            <w:shd w:val="clear" w:color="auto" w:fill="auto"/>
            <w:noWrap/>
            <w:vAlign w:val="center"/>
            <w:hideMark/>
          </w:tcPr>
          <w:p w14:paraId="5FFA8510"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1.949064</w:t>
            </w:r>
          </w:p>
        </w:tc>
        <w:tc>
          <w:tcPr>
            <w:tcW w:w="344" w:type="pct"/>
            <w:tcBorders>
              <w:top w:val="nil"/>
              <w:left w:val="nil"/>
              <w:bottom w:val="single" w:sz="4" w:space="0" w:color="auto"/>
              <w:right w:val="single" w:sz="4" w:space="0" w:color="auto"/>
            </w:tcBorders>
            <w:shd w:val="clear" w:color="auto" w:fill="auto"/>
            <w:noWrap/>
            <w:vAlign w:val="center"/>
            <w:hideMark/>
          </w:tcPr>
          <w:p w14:paraId="28CF984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54.705499</w:t>
            </w:r>
          </w:p>
        </w:tc>
        <w:tc>
          <w:tcPr>
            <w:tcW w:w="358" w:type="pct"/>
            <w:tcBorders>
              <w:top w:val="nil"/>
              <w:left w:val="nil"/>
              <w:bottom w:val="single" w:sz="4" w:space="0" w:color="auto"/>
              <w:right w:val="single" w:sz="4" w:space="0" w:color="auto"/>
            </w:tcBorders>
            <w:shd w:val="clear" w:color="auto" w:fill="auto"/>
            <w:noWrap/>
            <w:vAlign w:val="center"/>
            <w:hideMark/>
          </w:tcPr>
          <w:p w14:paraId="3F125B2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1.949064</w:t>
            </w:r>
          </w:p>
        </w:tc>
      </w:tr>
      <w:tr w:rsidR="003A0626" w:rsidRPr="00B91524" w14:paraId="729296D9"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294A7B8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39</w:t>
            </w:r>
          </w:p>
        </w:tc>
        <w:tc>
          <w:tcPr>
            <w:tcW w:w="343" w:type="pct"/>
            <w:tcBorders>
              <w:top w:val="nil"/>
              <w:left w:val="nil"/>
              <w:bottom w:val="single" w:sz="4" w:space="0" w:color="auto"/>
              <w:right w:val="single" w:sz="4" w:space="0" w:color="auto"/>
            </w:tcBorders>
            <w:shd w:val="clear" w:color="auto" w:fill="auto"/>
            <w:noWrap/>
            <w:vAlign w:val="center"/>
            <w:hideMark/>
          </w:tcPr>
          <w:p w14:paraId="297267A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43</w:t>
            </w:r>
          </w:p>
        </w:tc>
        <w:tc>
          <w:tcPr>
            <w:tcW w:w="2679" w:type="pct"/>
            <w:tcBorders>
              <w:top w:val="nil"/>
              <w:left w:val="nil"/>
              <w:bottom w:val="single" w:sz="4" w:space="0" w:color="auto"/>
              <w:right w:val="single" w:sz="4" w:space="0" w:color="auto"/>
            </w:tcBorders>
            <w:shd w:val="clear" w:color="auto" w:fill="auto"/>
            <w:noWrap/>
            <w:vAlign w:val="center"/>
            <w:hideMark/>
          </w:tcPr>
          <w:p w14:paraId="25002C12"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12A76850"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3B597A4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54.674662</w:t>
            </w:r>
          </w:p>
        </w:tc>
        <w:tc>
          <w:tcPr>
            <w:tcW w:w="354" w:type="pct"/>
            <w:tcBorders>
              <w:top w:val="nil"/>
              <w:left w:val="nil"/>
              <w:bottom w:val="single" w:sz="4" w:space="0" w:color="auto"/>
              <w:right w:val="single" w:sz="4" w:space="0" w:color="auto"/>
            </w:tcBorders>
            <w:shd w:val="clear" w:color="auto" w:fill="auto"/>
            <w:noWrap/>
            <w:vAlign w:val="center"/>
            <w:hideMark/>
          </w:tcPr>
          <w:p w14:paraId="72B434D4"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1.770240</w:t>
            </w:r>
          </w:p>
        </w:tc>
        <w:tc>
          <w:tcPr>
            <w:tcW w:w="344" w:type="pct"/>
            <w:tcBorders>
              <w:top w:val="nil"/>
              <w:left w:val="nil"/>
              <w:bottom w:val="single" w:sz="4" w:space="0" w:color="auto"/>
              <w:right w:val="single" w:sz="4" w:space="0" w:color="auto"/>
            </w:tcBorders>
            <w:shd w:val="clear" w:color="auto" w:fill="auto"/>
            <w:noWrap/>
            <w:vAlign w:val="center"/>
            <w:hideMark/>
          </w:tcPr>
          <w:p w14:paraId="065B96B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54.674662</w:t>
            </w:r>
          </w:p>
        </w:tc>
        <w:tc>
          <w:tcPr>
            <w:tcW w:w="358" w:type="pct"/>
            <w:tcBorders>
              <w:top w:val="nil"/>
              <w:left w:val="nil"/>
              <w:bottom w:val="single" w:sz="4" w:space="0" w:color="auto"/>
              <w:right w:val="single" w:sz="4" w:space="0" w:color="auto"/>
            </w:tcBorders>
            <w:shd w:val="clear" w:color="auto" w:fill="auto"/>
            <w:noWrap/>
            <w:vAlign w:val="center"/>
            <w:hideMark/>
          </w:tcPr>
          <w:p w14:paraId="02B19AF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1.770240</w:t>
            </w:r>
          </w:p>
        </w:tc>
      </w:tr>
      <w:tr w:rsidR="003A0626" w:rsidRPr="00B91524" w14:paraId="6901895D"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7CB1E79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44</w:t>
            </w:r>
          </w:p>
        </w:tc>
        <w:tc>
          <w:tcPr>
            <w:tcW w:w="343" w:type="pct"/>
            <w:tcBorders>
              <w:top w:val="nil"/>
              <w:left w:val="nil"/>
              <w:bottom w:val="single" w:sz="4" w:space="0" w:color="auto"/>
              <w:right w:val="single" w:sz="4" w:space="0" w:color="auto"/>
            </w:tcBorders>
            <w:shd w:val="clear" w:color="auto" w:fill="auto"/>
            <w:noWrap/>
            <w:vAlign w:val="center"/>
            <w:hideMark/>
          </w:tcPr>
          <w:p w14:paraId="500F484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44</w:t>
            </w:r>
          </w:p>
        </w:tc>
        <w:tc>
          <w:tcPr>
            <w:tcW w:w="2679" w:type="pct"/>
            <w:tcBorders>
              <w:top w:val="nil"/>
              <w:left w:val="nil"/>
              <w:bottom w:val="single" w:sz="4" w:space="0" w:color="auto"/>
              <w:right w:val="single" w:sz="4" w:space="0" w:color="auto"/>
            </w:tcBorders>
            <w:shd w:val="clear" w:color="auto" w:fill="auto"/>
            <w:noWrap/>
            <w:vAlign w:val="center"/>
            <w:hideMark/>
          </w:tcPr>
          <w:p w14:paraId="7554A854"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4BCA84DE"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33581749"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54.710065</w:t>
            </w:r>
          </w:p>
        </w:tc>
        <w:tc>
          <w:tcPr>
            <w:tcW w:w="354" w:type="pct"/>
            <w:tcBorders>
              <w:top w:val="nil"/>
              <w:left w:val="nil"/>
              <w:bottom w:val="single" w:sz="4" w:space="0" w:color="auto"/>
              <w:right w:val="single" w:sz="4" w:space="0" w:color="auto"/>
            </w:tcBorders>
            <w:shd w:val="clear" w:color="auto" w:fill="auto"/>
            <w:noWrap/>
            <w:vAlign w:val="center"/>
            <w:hideMark/>
          </w:tcPr>
          <w:p w14:paraId="55820ECE"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2.133815</w:t>
            </w:r>
          </w:p>
        </w:tc>
        <w:tc>
          <w:tcPr>
            <w:tcW w:w="344" w:type="pct"/>
            <w:tcBorders>
              <w:top w:val="nil"/>
              <w:left w:val="nil"/>
              <w:bottom w:val="single" w:sz="4" w:space="0" w:color="auto"/>
              <w:right w:val="single" w:sz="4" w:space="0" w:color="auto"/>
            </w:tcBorders>
            <w:shd w:val="clear" w:color="auto" w:fill="auto"/>
            <w:noWrap/>
            <w:vAlign w:val="center"/>
            <w:hideMark/>
          </w:tcPr>
          <w:p w14:paraId="797ED30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54.710065</w:t>
            </w:r>
          </w:p>
        </w:tc>
        <w:tc>
          <w:tcPr>
            <w:tcW w:w="358" w:type="pct"/>
            <w:tcBorders>
              <w:top w:val="nil"/>
              <w:left w:val="nil"/>
              <w:bottom w:val="single" w:sz="4" w:space="0" w:color="auto"/>
              <w:right w:val="single" w:sz="4" w:space="0" w:color="auto"/>
            </w:tcBorders>
            <w:shd w:val="clear" w:color="auto" w:fill="auto"/>
            <w:noWrap/>
            <w:vAlign w:val="center"/>
            <w:hideMark/>
          </w:tcPr>
          <w:p w14:paraId="11724D0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2.133815</w:t>
            </w:r>
          </w:p>
        </w:tc>
      </w:tr>
      <w:tr w:rsidR="003A0626" w:rsidRPr="00B91524" w14:paraId="0F5939B2"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7AFF98B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22</w:t>
            </w:r>
          </w:p>
        </w:tc>
        <w:tc>
          <w:tcPr>
            <w:tcW w:w="343" w:type="pct"/>
            <w:tcBorders>
              <w:top w:val="nil"/>
              <w:left w:val="nil"/>
              <w:bottom w:val="single" w:sz="4" w:space="0" w:color="auto"/>
              <w:right w:val="single" w:sz="4" w:space="0" w:color="auto"/>
            </w:tcBorders>
            <w:shd w:val="clear" w:color="auto" w:fill="auto"/>
            <w:noWrap/>
            <w:vAlign w:val="center"/>
            <w:hideMark/>
          </w:tcPr>
          <w:p w14:paraId="3A93705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45</w:t>
            </w:r>
          </w:p>
        </w:tc>
        <w:tc>
          <w:tcPr>
            <w:tcW w:w="2679" w:type="pct"/>
            <w:tcBorders>
              <w:top w:val="nil"/>
              <w:left w:val="nil"/>
              <w:bottom w:val="single" w:sz="4" w:space="0" w:color="auto"/>
              <w:right w:val="single" w:sz="4" w:space="0" w:color="auto"/>
            </w:tcBorders>
            <w:shd w:val="clear" w:color="auto" w:fill="auto"/>
            <w:noWrap/>
            <w:vAlign w:val="center"/>
            <w:hideMark/>
          </w:tcPr>
          <w:p w14:paraId="45497FD0"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2FB92FF8"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REWIND</w:t>
            </w:r>
          </w:p>
        </w:tc>
        <w:tc>
          <w:tcPr>
            <w:tcW w:w="337" w:type="pct"/>
            <w:tcBorders>
              <w:top w:val="nil"/>
              <w:left w:val="nil"/>
              <w:bottom w:val="single" w:sz="4" w:space="0" w:color="auto"/>
              <w:right w:val="single" w:sz="4" w:space="0" w:color="auto"/>
            </w:tcBorders>
            <w:shd w:val="clear" w:color="auto" w:fill="auto"/>
            <w:noWrap/>
            <w:vAlign w:val="center"/>
            <w:hideMark/>
          </w:tcPr>
          <w:p w14:paraId="6E721C0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54.916725</w:t>
            </w:r>
          </w:p>
        </w:tc>
        <w:tc>
          <w:tcPr>
            <w:tcW w:w="354" w:type="pct"/>
            <w:tcBorders>
              <w:top w:val="nil"/>
              <w:left w:val="nil"/>
              <w:bottom w:val="single" w:sz="4" w:space="0" w:color="auto"/>
              <w:right w:val="single" w:sz="4" w:space="0" w:color="auto"/>
            </w:tcBorders>
            <w:shd w:val="clear" w:color="auto" w:fill="auto"/>
            <w:noWrap/>
            <w:vAlign w:val="center"/>
            <w:hideMark/>
          </w:tcPr>
          <w:p w14:paraId="2AAA17B4"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1.981667</w:t>
            </w:r>
          </w:p>
        </w:tc>
        <w:tc>
          <w:tcPr>
            <w:tcW w:w="344" w:type="pct"/>
            <w:tcBorders>
              <w:top w:val="nil"/>
              <w:left w:val="nil"/>
              <w:bottom w:val="single" w:sz="4" w:space="0" w:color="auto"/>
              <w:right w:val="single" w:sz="4" w:space="0" w:color="auto"/>
            </w:tcBorders>
            <w:shd w:val="clear" w:color="auto" w:fill="auto"/>
            <w:noWrap/>
            <w:vAlign w:val="center"/>
            <w:hideMark/>
          </w:tcPr>
          <w:p w14:paraId="5A5C223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54.916725</w:t>
            </w:r>
          </w:p>
        </w:tc>
        <w:tc>
          <w:tcPr>
            <w:tcW w:w="358" w:type="pct"/>
            <w:tcBorders>
              <w:top w:val="nil"/>
              <w:left w:val="nil"/>
              <w:bottom w:val="single" w:sz="4" w:space="0" w:color="auto"/>
              <w:right w:val="single" w:sz="4" w:space="0" w:color="auto"/>
            </w:tcBorders>
            <w:shd w:val="clear" w:color="auto" w:fill="auto"/>
            <w:noWrap/>
            <w:vAlign w:val="center"/>
            <w:hideMark/>
          </w:tcPr>
          <w:p w14:paraId="1B9A73C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1.981667</w:t>
            </w:r>
          </w:p>
        </w:tc>
      </w:tr>
      <w:tr w:rsidR="003A0626" w:rsidRPr="00B91524" w14:paraId="2107685F"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6D071A4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w:t>
            </w:r>
          </w:p>
        </w:tc>
        <w:tc>
          <w:tcPr>
            <w:tcW w:w="343" w:type="pct"/>
            <w:tcBorders>
              <w:top w:val="nil"/>
              <w:left w:val="nil"/>
              <w:bottom w:val="single" w:sz="4" w:space="0" w:color="auto"/>
              <w:right w:val="single" w:sz="4" w:space="0" w:color="auto"/>
            </w:tcBorders>
            <w:shd w:val="clear" w:color="auto" w:fill="auto"/>
            <w:noWrap/>
            <w:vAlign w:val="center"/>
            <w:hideMark/>
          </w:tcPr>
          <w:p w14:paraId="44892ED4"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46</w:t>
            </w:r>
          </w:p>
        </w:tc>
        <w:tc>
          <w:tcPr>
            <w:tcW w:w="2679" w:type="pct"/>
            <w:tcBorders>
              <w:top w:val="nil"/>
              <w:left w:val="nil"/>
              <w:bottom w:val="single" w:sz="4" w:space="0" w:color="auto"/>
              <w:right w:val="single" w:sz="4" w:space="0" w:color="auto"/>
            </w:tcBorders>
            <w:shd w:val="clear" w:color="auto" w:fill="auto"/>
            <w:noWrap/>
            <w:vAlign w:val="center"/>
            <w:hideMark/>
          </w:tcPr>
          <w:p w14:paraId="5DD644AB"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0015432B"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4ABE8371"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54.604500</w:t>
            </w:r>
          </w:p>
        </w:tc>
        <w:tc>
          <w:tcPr>
            <w:tcW w:w="354" w:type="pct"/>
            <w:tcBorders>
              <w:top w:val="nil"/>
              <w:left w:val="nil"/>
              <w:bottom w:val="single" w:sz="4" w:space="0" w:color="auto"/>
              <w:right w:val="single" w:sz="4" w:space="0" w:color="auto"/>
            </w:tcBorders>
            <w:shd w:val="clear" w:color="auto" w:fill="auto"/>
            <w:noWrap/>
            <w:vAlign w:val="center"/>
            <w:hideMark/>
          </w:tcPr>
          <w:p w14:paraId="09C5501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1.916667</w:t>
            </w:r>
          </w:p>
        </w:tc>
        <w:tc>
          <w:tcPr>
            <w:tcW w:w="344" w:type="pct"/>
            <w:tcBorders>
              <w:top w:val="nil"/>
              <w:left w:val="nil"/>
              <w:bottom w:val="single" w:sz="4" w:space="0" w:color="auto"/>
              <w:right w:val="single" w:sz="4" w:space="0" w:color="auto"/>
            </w:tcBorders>
            <w:shd w:val="clear" w:color="auto" w:fill="auto"/>
            <w:noWrap/>
            <w:vAlign w:val="center"/>
            <w:hideMark/>
          </w:tcPr>
          <w:p w14:paraId="719E086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54.604500</w:t>
            </w:r>
          </w:p>
        </w:tc>
        <w:tc>
          <w:tcPr>
            <w:tcW w:w="358" w:type="pct"/>
            <w:tcBorders>
              <w:top w:val="nil"/>
              <w:left w:val="nil"/>
              <w:bottom w:val="single" w:sz="4" w:space="0" w:color="auto"/>
              <w:right w:val="single" w:sz="4" w:space="0" w:color="auto"/>
            </w:tcBorders>
            <w:shd w:val="clear" w:color="auto" w:fill="auto"/>
            <w:noWrap/>
            <w:vAlign w:val="center"/>
            <w:hideMark/>
          </w:tcPr>
          <w:p w14:paraId="56B60C6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1.916667</w:t>
            </w:r>
          </w:p>
        </w:tc>
      </w:tr>
      <w:tr w:rsidR="003A0626" w:rsidRPr="00B91524" w14:paraId="3D961BDF"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343BD5E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4</w:t>
            </w:r>
          </w:p>
        </w:tc>
        <w:tc>
          <w:tcPr>
            <w:tcW w:w="343" w:type="pct"/>
            <w:tcBorders>
              <w:top w:val="nil"/>
              <w:left w:val="nil"/>
              <w:bottom w:val="single" w:sz="4" w:space="0" w:color="auto"/>
              <w:right w:val="single" w:sz="4" w:space="0" w:color="auto"/>
            </w:tcBorders>
            <w:shd w:val="clear" w:color="auto" w:fill="auto"/>
            <w:noWrap/>
            <w:vAlign w:val="center"/>
            <w:hideMark/>
          </w:tcPr>
          <w:p w14:paraId="768922F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47</w:t>
            </w:r>
          </w:p>
        </w:tc>
        <w:tc>
          <w:tcPr>
            <w:tcW w:w="2679" w:type="pct"/>
            <w:tcBorders>
              <w:top w:val="nil"/>
              <w:left w:val="nil"/>
              <w:bottom w:val="single" w:sz="4" w:space="0" w:color="auto"/>
              <w:right w:val="single" w:sz="4" w:space="0" w:color="auto"/>
            </w:tcBorders>
            <w:shd w:val="clear" w:color="auto" w:fill="auto"/>
            <w:noWrap/>
            <w:vAlign w:val="center"/>
            <w:hideMark/>
          </w:tcPr>
          <w:p w14:paraId="060FD5E6"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288D7C72"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56EBFB7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54.479833</w:t>
            </w:r>
          </w:p>
        </w:tc>
        <w:tc>
          <w:tcPr>
            <w:tcW w:w="354" w:type="pct"/>
            <w:tcBorders>
              <w:top w:val="nil"/>
              <w:left w:val="nil"/>
              <w:bottom w:val="single" w:sz="4" w:space="0" w:color="auto"/>
              <w:right w:val="single" w:sz="4" w:space="0" w:color="auto"/>
            </w:tcBorders>
            <w:shd w:val="clear" w:color="auto" w:fill="auto"/>
            <w:noWrap/>
            <w:vAlign w:val="center"/>
            <w:hideMark/>
          </w:tcPr>
          <w:p w14:paraId="361B5DE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1.862000</w:t>
            </w:r>
          </w:p>
        </w:tc>
        <w:tc>
          <w:tcPr>
            <w:tcW w:w="344" w:type="pct"/>
            <w:tcBorders>
              <w:top w:val="nil"/>
              <w:left w:val="nil"/>
              <w:bottom w:val="single" w:sz="4" w:space="0" w:color="auto"/>
              <w:right w:val="single" w:sz="4" w:space="0" w:color="auto"/>
            </w:tcBorders>
            <w:shd w:val="clear" w:color="auto" w:fill="auto"/>
            <w:noWrap/>
            <w:vAlign w:val="center"/>
            <w:hideMark/>
          </w:tcPr>
          <w:p w14:paraId="52EE0D9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54.479833</w:t>
            </w:r>
          </w:p>
        </w:tc>
        <w:tc>
          <w:tcPr>
            <w:tcW w:w="358" w:type="pct"/>
            <w:tcBorders>
              <w:top w:val="nil"/>
              <w:left w:val="nil"/>
              <w:bottom w:val="single" w:sz="4" w:space="0" w:color="auto"/>
              <w:right w:val="single" w:sz="4" w:space="0" w:color="auto"/>
            </w:tcBorders>
            <w:shd w:val="clear" w:color="auto" w:fill="auto"/>
            <w:noWrap/>
            <w:vAlign w:val="center"/>
            <w:hideMark/>
          </w:tcPr>
          <w:p w14:paraId="118BDC7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1.862000</w:t>
            </w:r>
          </w:p>
        </w:tc>
      </w:tr>
      <w:tr w:rsidR="003A0626" w:rsidRPr="00B91524" w14:paraId="566DC1B2"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42B814E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w:t>
            </w:r>
          </w:p>
        </w:tc>
        <w:tc>
          <w:tcPr>
            <w:tcW w:w="343" w:type="pct"/>
            <w:tcBorders>
              <w:top w:val="nil"/>
              <w:left w:val="nil"/>
              <w:bottom w:val="single" w:sz="4" w:space="0" w:color="auto"/>
              <w:right w:val="single" w:sz="4" w:space="0" w:color="auto"/>
            </w:tcBorders>
            <w:shd w:val="clear" w:color="auto" w:fill="auto"/>
            <w:noWrap/>
            <w:vAlign w:val="center"/>
            <w:hideMark/>
          </w:tcPr>
          <w:p w14:paraId="2B06A20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48</w:t>
            </w:r>
          </w:p>
        </w:tc>
        <w:tc>
          <w:tcPr>
            <w:tcW w:w="2679" w:type="pct"/>
            <w:tcBorders>
              <w:top w:val="nil"/>
              <w:left w:val="nil"/>
              <w:bottom w:val="single" w:sz="4" w:space="0" w:color="auto"/>
              <w:right w:val="single" w:sz="4" w:space="0" w:color="auto"/>
            </w:tcBorders>
            <w:shd w:val="clear" w:color="auto" w:fill="auto"/>
            <w:noWrap/>
            <w:vAlign w:val="center"/>
            <w:hideMark/>
          </w:tcPr>
          <w:p w14:paraId="3883DF82"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362251B3"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5DA500D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54.618333</w:t>
            </w:r>
          </w:p>
        </w:tc>
        <w:tc>
          <w:tcPr>
            <w:tcW w:w="354" w:type="pct"/>
            <w:tcBorders>
              <w:top w:val="nil"/>
              <w:left w:val="nil"/>
              <w:bottom w:val="single" w:sz="4" w:space="0" w:color="auto"/>
              <w:right w:val="single" w:sz="4" w:space="0" w:color="auto"/>
            </w:tcBorders>
            <w:shd w:val="clear" w:color="auto" w:fill="auto"/>
            <w:noWrap/>
            <w:vAlign w:val="center"/>
            <w:hideMark/>
          </w:tcPr>
          <w:p w14:paraId="1E1E1684"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1.681667</w:t>
            </w:r>
          </w:p>
        </w:tc>
        <w:tc>
          <w:tcPr>
            <w:tcW w:w="344" w:type="pct"/>
            <w:tcBorders>
              <w:top w:val="nil"/>
              <w:left w:val="nil"/>
              <w:bottom w:val="single" w:sz="4" w:space="0" w:color="auto"/>
              <w:right w:val="single" w:sz="4" w:space="0" w:color="auto"/>
            </w:tcBorders>
            <w:shd w:val="clear" w:color="auto" w:fill="auto"/>
            <w:noWrap/>
            <w:vAlign w:val="center"/>
            <w:hideMark/>
          </w:tcPr>
          <w:p w14:paraId="03529AB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54.618333</w:t>
            </w:r>
          </w:p>
        </w:tc>
        <w:tc>
          <w:tcPr>
            <w:tcW w:w="358" w:type="pct"/>
            <w:tcBorders>
              <w:top w:val="nil"/>
              <w:left w:val="nil"/>
              <w:bottom w:val="single" w:sz="4" w:space="0" w:color="auto"/>
              <w:right w:val="single" w:sz="4" w:space="0" w:color="auto"/>
            </w:tcBorders>
            <w:shd w:val="clear" w:color="auto" w:fill="auto"/>
            <w:noWrap/>
            <w:vAlign w:val="center"/>
            <w:hideMark/>
          </w:tcPr>
          <w:p w14:paraId="1305893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1.681667</w:t>
            </w:r>
          </w:p>
        </w:tc>
      </w:tr>
      <w:tr w:rsidR="003A0626" w:rsidRPr="00B91524" w14:paraId="7BFE470C"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4BACBBC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6</w:t>
            </w:r>
          </w:p>
        </w:tc>
        <w:tc>
          <w:tcPr>
            <w:tcW w:w="343" w:type="pct"/>
            <w:tcBorders>
              <w:top w:val="nil"/>
              <w:left w:val="nil"/>
              <w:bottom w:val="single" w:sz="4" w:space="0" w:color="auto"/>
              <w:right w:val="single" w:sz="4" w:space="0" w:color="auto"/>
            </w:tcBorders>
            <w:shd w:val="clear" w:color="auto" w:fill="auto"/>
            <w:noWrap/>
            <w:vAlign w:val="center"/>
            <w:hideMark/>
          </w:tcPr>
          <w:p w14:paraId="3CACB3A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49</w:t>
            </w:r>
          </w:p>
        </w:tc>
        <w:tc>
          <w:tcPr>
            <w:tcW w:w="2679" w:type="pct"/>
            <w:tcBorders>
              <w:top w:val="nil"/>
              <w:left w:val="nil"/>
              <w:bottom w:val="single" w:sz="4" w:space="0" w:color="auto"/>
              <w:right w:val="single" w:sz="4" w:space="0" w:color="auto"/>
            </w:tcBorders>
            <w:shd w:val="clear" w:color="auto" w:fill="auto"/>
            <w:noWrap/>
            <w:vAlign w:val="center"/>
            <w:hideMark/>
          </w:tcPr>
          <w:p w14:paraId="48742EBC"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2C31B6D1"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0A3F459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54.757500</w:t>
            </w:r>
          </w:p>
        </w:tc>
        <w:tc>
          <w:tcPr>
            <w:tcW w:w="354" w:type="pct"/>
            <w:tcBorders>
              <w:top w:val="nil"/>
              <w:left w:val="nil"/>
              <w:bottom w:val="single" w:sz="4" w:space="0" w:color="auto"/>
              <w:right w:val="single" w:sz="4" w:space="0" w:color="auto"/>
            </w:tcBorders>
            <w:shd w:val="clear" w:color="auto" w:fill="auto"/>
            <w:noWrap/>
            <w:vAlign w:val="center"/>
            <w:hideMark/>
          </w:tcPr>
          <w:p w14:paraId="385CBD1E"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1.733333</w:t>
            </w:r>
          </w:p>
        </w:tc>
        <w:tc>
          <w:tcPr>
            <w:tcW w:w="344" w:type="pct"/>
            <w:tcBorders>
              <w:top w:val="nil"/>
              <w:left w:val="nil"/>
              <w:bottom w:val="single" w:sz="4" w:space="0" w:color="auto"/>
              <w:right w:val="single" w:sz="4" w:space="0" w:color="auto"/>
            </w:tcBorders>
            <w:shd w:val="clear" w:color="auto" w:fill="auto"/>
            <w:noWrap/>
            <w:vAlign w:val="center"/>
            <w:hideMark/>
          </w:tcPr>
          <w:p w14:paraId="58D001E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54.757500</w:t>
            </w:r>
          </w:p>
        </w:tc>
        <w:tc>
          <w:tcPr>
            <w:tcW w:w="358" w:type="pct"/>
            <w:tcBorders>
              <w:top w:val="nil"/>
              <w:left w:val="nil"/>
              <w:bottom w:val="single" w:sz="4" w:space="0" w:color="auto"/>
              <w:right w:val="single" w:sz="4" w:space="0" w:color="auto"/>
            </w:tcBorders>
            <w:shd w:val="clear" w:color="auto" w:fill="auto"/>
            <w:noWrap/>
            <w:vAlign w:val="center"/>
            <w:hideMark/>
          </w:tcPr>
          <w:p w14:paraId="3EE5411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1.733333</w:t>
            </w:r>
          </w:p>
        </w:tc>
      </w:tr>
      <w:tr w:rsidR="003A0626" w:rsidRPr="00B91524" w14:paraId="18D4C727"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64F88CB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7</w:t>
            </w:r>
          </w:p>
        </w:tc>
        <w:tc>
          <w:tcPr>
            <w:tcW w:w="343" w:type="pct"/>
            <w:tcBorders>
              <w:top w:val="nil"/>
              <w:left w:val="nil"/>
              <w:bottom w:val="single" w:sz="4" w:space="0" w:color="auto"/>
              <w:right w:val="single" w:sz="4" w:space="0" w:color="auto"/>
            </w:tcBorders>
            <w:shd w:val="clear" w:color="auto" w:fill="auto"/>
            <w:noWrap/>
            <w:vAlign w:val="center"/>
            <w:hideMark/>
          </w:tcPr>
          <w:p w14:paraId="2E3A73E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50</w:t>
            </w:r>
          </w:p>
        </w:tc>
        <w:tc>
          <w:tcPr>
            <w:tcW w:w="2679" w:type="pct"/>
            <w:tcBorders>
              <w:top w:val="nil"/>
              <w:left w:val="nil"/>
              <w:bottom w:val="single" w:sz="4" w:space="0" w:color="auto"/>
              <w:right w:val="single" w:sz="4" w:space="0" w:color="auto"/>
            </w:tcBorders>
            <w:shd w:val="clear" w:color="auto" w:fill="auto"/>
            <w:noWrap/>
            <w:vAlign w:val="center"/>
            <w:hideMark/>
          </w:tcPr>
          <w:p w14:paraId="137CA289"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Moved 1044 m SE to avoid conflict with SEAL gas pipeline</w:t>
            </w:r>
          </w:p>
        </w:tc>
        <w:tc>
          <w:tcPr>
            <w:tcW w:w="293" w:type="pct"/>
            <w:tcBorders>
              <w:top w:val="nil"/>
              <w:left w:val="nil"/>
              <w:bottom w:val="single" w:sz="4" w:space="0" w:color="auto"/>
              <w:right w:val="single" w:sz="4" w:space="0" w:color="auto"/>
            </w:tcBorders>
            <w:shd w:val="clear" w:color="auto" w:fill="auto"/>
            <w:noWrap/>
            <w:vAlign w:val="center"/>
            <w:hideMark/>
          </w:tcPr>
          <w:p w14:paraId="2F7417CB"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13C19F2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54.798167</w:t>
            </w:r>
          </w:p>
        </w:tc>
        <w:tc>
          <w:tcPr>
            <w:tcW w:w="354" w:type="pct"/>
            <w:tcBorders>
              <w:top w:val="nil"/>
              <w:left w:val="nil"/>
              <w:bottom w:val="single" w:sz="4" w:space="0" w:color="auto"/>
              <w:right w:val="single" w:sz="4" w:space="0" w:color="auto"/>
            </w:tcBorders>
            <w:shd w:val="clear" w:color="auto" w:fill="auto"/>
            <w:noWrap/>
            <w:vAlign w:val="center"/>
            <w:hideMark/>
          </w:tcPr>
          <w:p w14:paraId="0603CEA0"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1.453000</w:t>
            </w:r>
          </w:p>
        </w:tc>
        <w:tc>
          <w:tcPr>
            <w:tcW w:w="344" w:type="pct"/>
            <w:tcBorders>
              <w:top w:val="nil"/>
              <w:left w:val="nil"/>
              <w:bottom w:val="single" w:sz="4" w:space="0" w:color="auto"/>
              <w:right w:val="single" w:sz="4" w:space="0" w:color="auto"/>
            </w:tcBorders>
            <w:shd w:val="clear" w:color="auto" w:fill="auto"/>
            <w:noWrap/>
            <w:vAlign w:val="center"/>
            <w:hideMark/>
          </w:tcPr>
          <w:p w14:paraId="5B1A84B9"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54.790352</w:t>
            </w:r>
          </w:p>
        </w:tc>
        <w:tc>
          <w:tcPr>
            <w:tcW w:w="358" w:type="pct"/>
            <w:tcBorders>
              <w:top w:val="nil"/>
              <w:left w:val="nil"/>
              <w:bottom w:val="single" w:sz="4" w:space="0" w:color="auto"/>
              <w:right w:val="single" w:sz="4" w:space="0" w:color="auto"/>
            </w:tcBorders>
            <w:shd w:val="clear" w:color="auto" w:fill="auto"/>
            <w:noWrap/>
            <w:vAlign w:val="center"/>
            <w:hideMark/>
          </w:tcPr>
          <w:p w14:paraId="23629AAE"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1.462010</w:t>
            </w:r>
          </w:p>
        </w:tc>
      </w:tr>
      <w:tr w:rsidR="003A0626" w:rsidRPr="00B91524" w14:paraId="47ED0A3D"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35E8D0A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8</w:t>
            </w:r>
          </w:p>
        </w:tc>
        <w:tc>
          <w:tcPr>
            <w:tcW w:w="343" w:type="pct"/>
            <w:tcBorders>
              <w:top w:val="nil"/>
              <w:left w:val="nil"/>
              <w:bottom w:val="single" w:sz="4" w:space="0" w:color="auto"/>
              <w:right w:val="single" w:sz="4" w:space="0" w:color="auto"/>
            </w:tcBorders>
            <w:shd w:val="clear" w:color="auto" w:fill="auto"/>
            <w:noWrap/>
            <w:vAlign w:val="center"/>
            <w:hideMark/>
          </w:tcPr>
          <w:p w14:paraId="3F9953F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51</w:t>
            </w:r>
          </w:p>
        </w:tc>
        <w:tc>
          <w:tcPr>
            <w:tcW w:w="2679" w:type="pct"/>
            <w:tcBorders>
              <w:top w:val="nil"/>
              <w:left w:val="nil"/>
              <w:bottom w:val="single" w:sz="4" w:space="0" w:color="auto"/>
              <w:right w:val="single" w:sz="4" w:space="0" w:color="auto"/>
            </w:tcBorders>
            <w:shd w:val="clear" w:color="auto" w:fill="auto"/>
            <w:noWrap/>
            <w:vAlign w:val="center"/>
            <w:hideMark/>
          </w:tcPr>
          <w:p w14:paraId="7836CE2B"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69904499"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5EA4A0E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54.900000</w:t>
            </w:r>
          </w:p>
        </w:tc>
        <w:tc>
          <w:tcPr>
            <w:tcW w:w="354" w:type="pct"/>
            <w:tcBorders>
              <w:top w:val="nil"/>
              <w:left w:val="nil"/>
              <w:bottom w:val="single" w:sz="4" w:space="0" w:color="auto"/>
              <w:right w:val="single" w:sz="4" w:space="0" w:color="auto"/>
            </w:tcBorders>
            <w:shd w:val="clear" w:color="auto" w:fill="auto"/>
            <w:noWrap/>
            <w:vAlign w:val="center"/>
            <w:hideMark/>
          </w:tcPr>
          <w:p w14:paraId="6CBCEF3E"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1.316667</w:t>
            </w:r>
          </w:p>
        </w:tc>
        <w:tc>
          <w:tcPr>
            <w:tcW w:w="344" w:type="pct"/>
            <w:tcBorders>
              <w:top w:val="nil"/>
              <w:left w:val="nil"/>
              <w:bottom w:val="single" w:sz="4" w:space="0" w:color="auto"/>
              <w:right w:val="single" w:sz="4" w:space="0" w:color="auto"/>
            </w:tcBorders>
            <w:shd w:val="clear" w:color="auto" w:fill="auto"/>
            <w:noWrap/>
            <w:vAlign w:val="center"/>
            <w:hideMark/>
          </w:tcPr>
          <w:p w14:paraId="27330201"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54.900000</w:t>
            </w:r>
          </w:p>
        </w:tc>
        <w:tc>
          <w:tcPr>
            <w:tcW w:w="358" w:type="pct"/>
            <w:tcBorders>
              <w:top w:val="nil"/>
              <w:left w:val="nil"/>
              <w:bottom w:val="single" w:sz="4" w:space="0" w:color="auto"/>
              <w:right w:val="single" w:sz="4" w:space="0" w:color="auto"/>
            </w:tcBorders>
            <w:shd w:val="clear" w:color="auto" w:fill="auto"/>
            <w:noWrap/>
            <w:vAlign w:val="center"/>
            <w:hideMark/>
          </w:tcPr>
          <w:p w14:paraId="6AE0AA2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1.316667</w:t>
            </w:r>
          </w:p>
        </w:tc>
      </w:tr>
      <w:tr w:rsidR="003A0626" w:rsidRPr="00B91524" w14:paraId="64304D7B"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6BAE9F19"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9</w:t>
            </w:r>
          </w:p>
        </w:tc>
        <w:tc>
          <w:tcPr>
            <w:tcW w:w="343" w:type="pct"/>
            <w:tcBorders>
              <w:top w:val="nil"/>
              <w:left w:val="nil"/>
              <w:bottom w:val="single" w:sz="4" w:space="0" w:color="auto"/>
              <w:right w:val="single" w:sz="4" w:space="0" w:color="auto"/>
            </w:tcBorders>
            <w:shd w:val="clear" w:color="auto" w:fill="auto"/>
            <w:noWrap/>
            <w:vAlign w:val="center"/>
            <w:hideMark/>
          </w:tcPr>
          <w:p w14:paraId="251A733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52</w:t>
            </w:r>
          </w:p>
        </w:tc>
        <w:tc>
          <w:tcPr>
            <w:tcW w:w="2679" w:type="pct"/>
            <w:tcBorders>
              <w:top w:val="nil"/>
              <w:left w:val="nil"/>
              <w:bottom w:val="single" w:sz="4" w:space="0" w:color="auto"/>
              <w:right w:val="single" w:sz="4" w:space="0" w:color="auto"/>
            </w:tcBorders>
            <w:shd w:val="clear" w:color="auto" w:fill="auto"/>
            <w:noWrap/>
            <w:vAlign w:val="center"/>
            <w:hideMark/>
          </w:tcPr>
          <w:p w14:paraId="02C33657"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160858E9"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5947AA0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54.995667</w:t>
            </w:r>
          </w:p>
        </w:tc>
        <w:tc>
          <w:tcPr>
            <w:tcW w:w="354" w:type="pct"/>
            <w:tcBorders>
              <w:top w:val="nil"/>
              <w:left w:val="nil"/>
              <w:bottom w:val="single" w:sz="4" w:space="0" w:color="auto"/>
              <w:right w:val="single" w:sz="4" w:space="0" w:color="auto"/>
            </w:tcBorders>
            <w:shd w:val="clear" w:color="auto" w:fill="auto"/>
            <w:noWrap/>
            <w:vAlign w:val="center"/>
            <w:hideMark/>
          </w:tcPr>
          <w:p w14:paraId="2D53A98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1.652667</w:t>
            </w:r>
          </w:p>
        </w:tc>
        <w:tc>
          <w:tcPr>
            <w:tcW w:w="344" w:type="pct"/>
            <w:tcBorders>
              <w:top w:val="nil"/>
              <w:left w:val="nil"/>
              <w:bottom w:val="single" w:sz="4" w:space="0" w:color="auto"/>
              <w:right w:val="single" w:sz="4" w:space="0" w:color="auto"/>
            </w:tcBorders>
            <w:shd w:val="clear" w:color="auto" w:fill="auto"/>
            <w:noWrap/>
            <w:vAlign w:val="center"/>
            <w:hideMark/>
          </w:tcPr>
          <w:p w14:paraId="7D9BCD6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54.995667</w:t>
            </w:r>
          </w:p>
        </w:tc>
        <w:tc>
          <w:tcPr>
            <w:tcW w:w="358" w:type="pct"/>
            <w:tcBorders>
              <w:top w:val="nil"/>
              <w:left w:val="nil"/>
              <w:bottom w:val="single" w:sz="4" w:space="0" w:color="auto"/>
              <w:right w:val="single" w:sz="4" w:space="0" w:color="auto"/>
            </w:tcBorders>
            <w:shd w:val="clear" w:color="auto" w:fill="auto"/>
            <w:noWrap/>
            <w:vAlign w:val="center"/>
            <w:hideMark/>
          </w:tcPr>
          <w:p w14:paraId="5D24B49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1.652667</w:t>
            </w:r>
          </w:p>
        </w:tc>
      </w:tr>
      <w:tr w:rsidR="003A0626" w:rsidRPr="00B91524" w14:paraId="4FB21A01"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2C195EF9"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10</w:t>
            </w:r>
          </w:p>
        </w:tc>
        <w:tc>
          <w:tcPr>
            <w:tcW w:w="343" w:type="pct"/>
            <w:tcBorders>
              <w:top w:val="nil"/>
              <w:left w:val="nil"/>
              <w:bottom w:val="single" w:sz="4" w:space="0" w:color="auto"/>
              <w:right w:val="single" w:sz="4" w:space="0" w:color="auto"/>
            </w:tcBorders>
            <w:shd w:val="clear" w:color="auto" w:fill="auto"/>
            <w:noWrap/>
            <w:vAlign w:val="center"/>
            <w:hideMark/>
          </w:tcPr>
          <w:p w14:paraId="645D308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53</w:t>
            </w:r>
          </w:p>
        </w:tc>
        <w:tc>
          <w:tcPr>
            <w:tcW w:w="2679" w:type="pct"/>
            <w:tcBorders>
              <w:top w:val="nil"/>
              <w:left w:val="nil"/>
              <w:bottom w:val="single" w:sz="4" w:space="0" w:color="auto"/>
              <w:right w:val="single" w:sz="4" w:space="0" w:color="auto"/>
            </w:tcBorders>
            <w:shd w:val="clear" w:color="auto" w:fill="auto"/>
            <w:noWrap/>
            <w:vAlign w:val="center"/>
            <w:hideMark/>
          </w:tcPr>
          <w:p w14:paraId="661B7C1D"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477552E8"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7AFA571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54.920833</w:t>
            </w:r>
          </w:p>
        </w:tc>
        <w:tc>
          <w:tcPr>
            <w:tcW w:w="354" w:type="pct"/>
            <w:tcBorders>
              <w:top w:val="nil"/>
              <w:left w:val="nil"/>
              <w:bottom w:val="single" w:sz="4" w:space="0" w:color="auto"/>
              <w:right w:val="single" w:sz="4" w:space="0" w:color="auto"/>
            </w:tcBorders>
            <w:shd w:val="clear" w:color="auto" w:fill="auto"/>
            <w:noWrap/>
            <w:vAlign w:val="center"/>
            <w:hideMark/>
          </w:tcPr>
          <w:p w14:paraId="70ECBC4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1.779167</w:t>
            </w:r>
          </w:p>
        </w:tc>
        <w:tc>
          <w:tcPr>
            <w:tcW w:w="344" w:type="pct"/>
            <w:tcBorders>
              <w:top w:val="nil"/>
              <w:left w:val="nil"/>
              <w:bottom w:val="single" w:sz="4" w:space="0" w:color="auto"/>
              <w:right w:val="single" w:sz="4" w:space="0" w:color="auto"/>
            </w:tcBorders>
            <w:shd w:val="clear" w:color="auto" w:fill="auto"/>
            <w:noWrap/>
            <w:vAlign w:val="center"/>
            <w:hideMark/>
          </w:tcPr>
          <w:p w14:paraId="45004B1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54.920833</w:t>
            </w:r>
          </w:p>
        </w:tc>
        <w:tc>
          <w:tcPr>
            <w:tcW w:w="358" w:type="pct"/>
            <w:tcBorders>
              <w:top w:val="nil"/>
              <w:left w:val="nil"/>
              <w:bottom w:val="single" w:sz="4" w:space="0" w:color="auto"/>
              <w:right w:val="single" w:sz="4" w:space="0" w:color="auto"/>
            </w:tcBorders>
            <w:shd w:val="clear" w:color="auto" w:fill="auto"/>
            <w:noWrap/>
            <w:vAlign w:val="center"/>
            <w:hideMark/>
          </w:tcPr>
          <w:p w14:paraId="374E3E20"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1.779167</w:t>
            </w:r>
          </w:p>
        </w:tc>
      </w:tr>
      <w:tr w:rsidR="003A0626" w:rsidRPr="00B91524" w14:paraId="427DC9C0"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7E9C840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11</w:t>
            </w:r>
          </w:p>
        </w:tc>
        <w:tc>
          <w:tcPr>
            <w:tcW w:w="343" w:type="pct"/>
            <w:tcBorders>
              <w:top w:val="nil"/>
              <w:left w:val="nil"/>
              <w:bottom w:val="single" w:sz="4" w:space="0" w:color="auto"/>
              <w:right w:val="single" w:sz="4" w:space="0" w:color="auto"/>
            </w:tcBorders>
            <w:shd w:val="clear" w:color="auto" w:fill="auto"/>
            <w:noWrap/>
            <w:vAlign w:val="center"/>
            <w:hideMark/>
          </w:tcPr>
          <w:p w14:paraId="558227C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w:t>
            </w:r>
          </w:p>
        </w:tc>
        <w:tc>
          <w:tcPr>
            <w:tcW w:w="2679" w:type="pct"/>
            <w:tcBorders>
              <w:top w:val="nil"/>
              <w:left w:val="nil"/>
              <w:bottom w:val="single" w:sz="4" w:space="0" w:color="auto"/>
              <w:right w:val="single" w:sz="4" w:space="0" w:color="auto"/>
            </w:tcBorders>
            <w:shd w:val="clear" w:color="auto" w:fill="auto"/>
            <w:noWrap/>
            <w:vAlign w:val="center"/>
            <w:hideMark/>
          </w:tcPr>
          <w:p w14:paraId="7D3D0DAD"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2A42A6E0"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5A08B11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54.757833</w:t>
            </w:r>
          </w:p>
        </w:tc>
        <w:tc>
          <w:tcPr>
            <w:tcW w:w="354" w:type="pct"/>
            <w:tcBorders>
              <w:top w:val="nil"/>
              <w:left w:val="nil"/>
              <w:bottom w:val="single" w:sz="4" w:space="0" w:color="auto"/>
              <w:right w:val="single" w:sz="4" w:space="0" w:color="auto"/>
            </w:tcBorders>
            <w:shd w:val="clear" w:color="auto" w:fill="auto"/>
            <w:noWrap/>
            <w:vAlign w:val="center"/>
            <w:hideMark/>
          </w:tcPr>
          <w:p w14:paraId="1A7FD29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2.007000</w:t>
            </w:r>
          </w:p>
        </w:tc>
        <w:tc>
          <w:tcPr>
            <w:tcW w:w="344" w:type="pct"/>
            <w:tcBorders>
              <w:top w:val="nil"/>
              <w:left w:val="nil"/>
              <w:bottom w:val="single" w:sz="4" w:space="0" w:color="auto"/>
              <w:right w:val="single" w:sz="4" w:space="0" w:color="auto"/>
            </w:tcBorders>
            <w:shd w:val="clear" w:color="auto" w:fill="auto"/>
            <w:noWrap/>
            <w:vAlign w:val="center"/>
            <w:hideMark/>
          </w:tcPr>
          <w:p w14:paraId="34BFE7DE"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54.757833</w:t>
            </w:r>
          </w:p>
        </w:tc>
        <w:tc>
          <w:tcPr>
            <w:tcW w:w="358" w:type="pct"/>
            <w:tcBorders>
              <w:top w:val="nil"/>
              <w:left w:val="nil"/>
              <w:bottom w:val="single" w:sz="4" w:space="0" w:color="auto"/>
              <w:right w:val="single" w:sz="4" w:space="0" w:color="auto"/>
            </w:tcBorders>
            <w:shd w:val="clear" w:color="auto" w:fill="auto"/>
            <w:noWrap/>
            <w:vAlign w:val="center"/>
            <w:hideMark/>
          </w:tcPr>
          <w:p w14:paraId="412EFBC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2.007000</w:t>
            </w:r>
          </w:p>
        </w:tc>
      </w:tr>
      <w:tr w:rsidR="003A0626" w:rsidRPr="00B91524" w14:paraId="3187F623"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6EB1970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12</w:t>
            </w:r>
          </w:p>
        </w:tc>
        <w:tc>
          <w:tcPr>
            <w:tcW w:w="343" w:type="pct"/>
            <w:tcBorders>
              <w:top w:val="nil"/>
              <w:left w:val="nil"/>
              <w:bottom w:val="single" w:sz="4" w:space="0" w:color="auto"/>
              <w:right w:val="single" w:sz="4" w:space="0" w:color="auto"/>
            </w:tcBorders>
            <w:shd w:val="clear" w:color="auto" w:fill="auto"/>
            <w:noWrap/>
            <w:vAlign w:val="center"/>
            <w:hideMark/>
          </w:tcPr>
          <w:p w14:paraId="2DFBBDF0"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w:t>
            </w:r>
          </w:p>
        </w:tc>
        <w:tc>
          <w:tcPr>
            <w:tcW w:w="2679" w:type="pct"/>
            <w:tcBorders>
              <w:top w:val="nil"/>
              <w:left w:val="nil"/>
              <w:bottom w:val="single" w:sz="4" w:space="0" w:color="auto"/>
              <w:right w:val="single" w:sz="4" w:space="0" w:color="auto"/>
            </w:tcBorders>
            <w:shd w:val="clear" w:color="auto" w:fill="auto"/>
            <w:noWrap/>
            <w:vAlign w:val="center"/>
            <w:hideMark/>
          </w:tcPr>
          <w:p w14:paraId="2DB2644C"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Moved 279 m North to avoid conflict with a charted transmission cable</w:t>
            </w:r>
          </w:p>
        </w:tc>
        <w:tc>
          <w:tcPr>
            <w:tcW w:w="293" w:type="pct"/>
            <w:tcBorders>
              <w:top w:val="nil"/>
              <w:left w:val="nil"/>
              <w:bottom w:val="single" w:sz="4" w:space="0" w:color="auto"/>
              <w:right w:val="single" w:sz="4" w:space="0" w:color="auto"/>
            </w:tcBorders>
            <w:shd w:val="clear" w:color="auto" w:fill="auto"/>
            <w:noWrap/>
            <w:vAlign w:val="center"/>
            <w:hideMark/>
          </w:tcPr>
          <w:p w14:paraId="2FBE95B8"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3D829314"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54.691833</w:t>
            </w:r>
          </w:p>
        </w:tc>
        <w:tc>
          <w:tcPr>
            <w:tcW w:w="354" w:type="pct"/>
            <w:tcBorders>
              <w:top w:val="nil"/>
              <w:left w:val="nil"/>
              <w:bottom w:val="single" w:sz="4" w:space="0" w:color="auto"/>
              <w:right w:val="single" w:sz="4" w:space="0" w:color="auto"/>
            </w:tcBorders>
            <w:shd w:val="clear" w:color="auto" w:fill="auto"/>
            <w:noWrap/>
            <w:vAlign w:val="center"/>
            <w:hideMark/>
          </w:tcPr>
          <w:p w14:paraId="55513AE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2.216167</w:t>
            </w:r>
          </w:p>
        </w:tc>
        <w:tc>
          <w:tcPr>
            <w:tcW w:w="344" w:type="pct"/>
            <w:tcBorders>
              <w:top w:val="nil"/>
              <w:left w:val="nil"/>
              <w:bottom w:val="single" w:sz="4" w:space="0" w:color="auto"/>
              <w:right w:val="single" w:sz="4" w:space="0" w:color="auto"/>
            </w:tcBorders>
            <w:shd w:val="clear" w:color="auto" w:fill="auto"/>
            <w:noWrap/>
            <w:vAlign w:val="center"/>
            <w:hideMark/>
          </w:tcPr>
          <w:p w14:paraId="284EC66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54.694318</w:t>
            </w:r>
          </w:p>
        </w:tc>
        <w:tc>
          <w:tcPr>
            <w:tcW w:w="358" w:type="pct"/>
            <w:tcBorders>
              <w:top w:val="nil"/>
              <w:left w:val="nil"/>
              <w:bottom w:val="single" w:sz="4" w:space="0" w:color="auto"/>
              <w:right w:val="single" w:sz="4" w:space="0" w:color="auto"/>
            </w:tcBorders>
            <w:shd w:val="clear" w:color="auto" w:fill="auto"/>
            <w:noWrap/>
            <w:vAlign w:val="center"/>
            <w:hideMark/>
          </w:tcPr>
          <w:p w14:paraId="711E469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2.215546</w:t>
            </w:r>
          </w:p>
        </w:tc>
      </w:tr>
      <w:tr w:rsidR="003A0626" w:rsidRPr="00B91524" w14:paraId="3292C99D"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47FA755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13</w:t>
            </w:r>
          </w:p>
        </w:tc>
        <w:tc>
          <w:tcPr>
            <w:tcW w:w="343" w:type="pct"/>
            <w:tcBorders>
              <w:top w:val="nil"/>
              <w:left w:val="nil"/>
              <w:bottom w:val="single" w:sz="4" w:space="0" w:color="auto"/>
              <w:right w:val="single" w:sz="4" w:space="0" w:color="auto"/>
            </w:tcBorders>
            <w:shd w:val="clear" w:color="auto" w:fill="auto"/>
            <w:noWrap/>
            <w:vAlign w:val="center"/>
            <w:hideMark/>
          </w:tcPr>
          <w:p w14:paraId="6E74F95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56</w:t>
            </w:r>
          </w:p>
        </w:tc>
        <w:tc>
          <w:tcPr>
            <w:tcW w:w="2679" w:type="pct"/>
            <w:tcBorders>
              <w:top w:val="nil"/>
              <w:left w:val="nil"/>
              <w:bottom w:val="single" w:sz="4" w:space="0" w:color="auto"/>
              <w:right w:val="single" w:sz="4" w:space="0" w:color="auto"/>
            </w:tcBorders>
            <w:shd w:val="clear" w:color="auto" w:fill="auto"/>
            <w:noWrap/>
            <w:vAlign w:val="center"/>
            <w:hideMark/>
          </w:tcPr>
          <w:p w14:paraId="188DDA1E"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Move 2876 m NE to avoid conflict with charted gas pipelines</w:t>
            </w:r>
          </w:p>
        </w:tc>
        <w:tc>
          <w:tcPr>
            <w:tcW w:w="293" w:type="pct"/>
            <w:tcBorders>
              <w:top w:val="nil"/>
              <w:left w:val="nil"/>
              <w:bottom w:val="single" w:sz="4" w:space="0" w:color="auto"/>
              <w:right w:val="single" w:sz="4" w:space="0" w:color="auto"/>
            </w:tcBorders>
            <w:shd w:val="clear" w:color="auto" w:fill="auto"/>
            <w:noWrap/>
            <w:vAlign w:val="center"/>
            <w:hideMark/>
          </w:tcPr>
          <w:p w14:paraId="14F57935"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2837A499"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54.433500</w:t>
            </w:r>
          </w:p>
        </w:tc>
        <w:tc>
          <w:tcPr>
            <w:tcW w:w="354" w:type="pct"/>
            <w:tcBorders>
              <w:top w:val="nil"/>
              <w:left w:val="nil"/>
              <w:bottom w:val="single" w:sz="4" w:space="0" w:color="auto"/>
              <w:right w:val="single" w:sz="4" w:space="0" w:color="auto"/>
            </w:tcBorders>
            <w:shd w:val="clear" w:color="auto" w:fill="auto"/>
            <w:noWrap/>
            <w:vAlign w:val="center"/>
            <w:hideMark/>
          </w:tcPr>
          <w:p w14:paraId="79B239D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2.359667</w:t>
            </w:r>
          </w:p>
        </w:tc>
        <w:tc>
          <w:tcPr>
            <w:tcW w:w="344" w:type="pct"/>
            <w:tcBorders>
              <w:top w:val="nil"/>
              <w:left w:val="nil"/>
              <w:bottom w:val="single" w:sz="4" w:space="0" w:color="auto"/>
              <w:right w:val="single" w:sz="4" w:space="0" w:color="auto"/>
            </w:tcBorders>
            <w:shd w:val="clear" w:color="auto" w:fill="auto"/>
            <w:noWrap/>
            <w:vAlign w:val="center"/>
            <w:hideMark/>
          </w:tcPr>
          <w:p w14:paraId="456249D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54.444718</w:t>
            </w:r>
          </w:p>
        </w:tc>
        <w:tc>
          <w:tcPr>
            <w:tcW w:w="358" w:type="pct"/>
            <w:tcBorders>
              <w:top w:val="nil"/>
              <w:left w:val="nil"/>
              <w:bottom w:val="single" w:sz="4" w:space="0" w:color="auto"/>
              <w:right w:val="single" w:sz="4" w:space="0" w:color="auto"/>
            </w:tcBorders>
            <w:shd w:val="clear" w:color="auto" w:fill="auto"/>
            <w:noWrap/>
            <w:vAlign w:val="center"/>
            <w:hideMark/>
          </w:tcPr>
          <w:p w14:paraId="66B7C1C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2.399628</w:t>
            </w:r>
          </w:p>
        </w:tc>
      </w:tr>
      <w:tr w:rsidR="003A0626" w:rsidRPr="00B91524" w14:paraId="76A2C99B"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444D545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14</w:t>
            </w:r>
          </w:p>
        </w:tc>
        <w:tc>
          <w:tcPr>
            <w:tcW w:w="343" w:type="pct"/>
            <w:tcBorders>
              <w:top w:val="nil"/>
              <w:left w:val="nil"/>
              <w:bottom w:val="single" w:sz="4" w:space="0" w:color="auto"/>
              <w:right w:val="single" w:sz="4" w:space="0" w:color="auto"/>
            </w:tcBorders>
            <w:shd w:val="clear" w:color="auto" w:fill="auto"/>
            <w:noWrap/>
            <w:vAlign w:val="center"/>
            <w:hideMark/>
          </w:tcPr>
          <w:p w14:paraId="65A9724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57</w:t>
            </w:r>
          </w:p>
        </w:tc>
        <w:tc>
          <w:tcPr>
            <w:tcW w:w="2679" w:type="pct"/>
            <w:tcBorders>
              <w:top w:val="nil"/>
              <w:left w:val="nil"/>
              <w:bottom w:val="single" w:sz="4" w:space="0" w:color="auto"/>
              <w:right w:val="single" w:sz="4" w:space="0" w:color="auto"/>
            </w:tcBorders>
            <w:shd w:val="clear" w:color="auto" w:fill="auto"/>
            <w:noWrap/>
            <w:vAlign w:val="center"/>
            <w:hideMark/>
          </w:tcPr>
          <w:p w14:paraId="30931F56"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1725E988"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247CBE3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54.515333</w:t>
            </w:r>
          </w:p>
        </w:tc>
        <w:tc>
          <w:tcPr>
            <w:tcW w:w="354" w:type="pct"/>
            <w:tcBorders>
              <w:top w:val="nil"/>
              <w:left w:val="nil"/>
              <w:bottom w:val="single" w:sz="4" w:space="0" w:color="auto"/>
              <w:right w:val="single" w:sz="4" w:space="0" w:color="auto"/>
            </w:tcBorders>
            <w:shd w:val="clear" w:color="auto" w:fill="auto"/>
            <w:noWrap/>
            <w:vAlign w:val="center"/>
            <w:hideMark/>
          </w:tcPr>
          <w:p w14:paraId="609A9D4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2.675833</w:t>
            </w:r>
          </w:p>
        </w:tc>
        <w:tc>
          <w:tcPr>
            <w:tcW w:w="344" w:type="pct"/>
            <w:tcBorders>
              <w:top w:val="nil"/>
              <w:left w:val="nil"/>
              <w:bottom w:val="single" w:sz="4" w:space="0" w:color="auto"/>
              <w:right w:val="single" w:sz="4" w:space="0" w:color="auto"/>
            </w:tcBorders>
            <w:shd w:val="clear" w:color="auto" w:fill="auto"/>
            <w:noWrap/>
            <w:vAlign w:val="center"/>
            <w:hideMark/>
          </w:tcPr>
          <w:p w14:paraId="269056F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54.515333</w:t>
            </w:r>
          </w:p>
        </w:tc>
        <w:tc>
          <w:tcPr>
            <w:tcW w:w="358" w:type="pct"/>
            <w:tcBorders>
              <w:top w:val="nil"/>
              <w:left w:val="nil"/>
              <w:bottom w:val="single" w:sz="4" w:space="0" w:color="auto"/>
              <w:right w:val="single" w:sz="4" w:space="0" w:color="auto"/>
            </w:tcBorders>
            <w:shd w:val="clear" w:color="auto" w:fill="auto"/>
            <w:noWrap/>
            <w:vAlign w:val="center"/>
            <w:hideMark/>
          </w:tcPr>
          <w:p w14:paraId="0A6598C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2.675833</w:t>
            </w:r>
          </w:p>
        </w:tc>
      </w:tr>
      <w:tr w:rsidR="003A0626" w:rsidRPr="00B91524" w14:paraId="3CC20080"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5E1D2BCE"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15</w:t>
            </w:r>
          </w:p>
        </w:tc>
        <w:tc>
          <w:tcPr>
            <w:tcW w:w="343" w:type="pct"/>
            <w:tcBorders>
              <w:top w:val="nil"/>
              <w:left w:val="nil"/>
              <w:bottom w:val="single" w:sz="4" w:space="0" w:color="auto"/>
              <w:right w:val="single" w:sz="4" w:space="0" w:color="auto"/>
            </w:tcBorders>
            <w:shd w:val="clear" w:color="auto" w:fill="auto"/>
            <w:noWrap/>
            <w:vAlign w:val="center"/>
            <w:hideMark/>
          </w:tcPr>
          <w:p w14:paraId="2026584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58</w:t>
            </w:r>
          </w:p>
        </w:tc>
        <w:tc>
          <w:tcPr>
            <w:tcW w:w="2679" w:type="pct"/>
            <w:tcBorders>
              <w:top w:val="nil"/>
              <w:left w:val="nil"/>
              <w:bottom w:val="single" w:sz="4" w:space="0" w:color="auto"/>
              <w:right w:val="single" w:sz="4" w:space="0" w:color="auto"/>
            </w:tcBorders>
            <w:shd w:val="clear" w:color="auto" w:fill="auto"/>
            <w:noWrap/>
            <w:vAlign w:val="center"/>
            <w:hideMark/>
          </w:tcPr>
          <w:p w14:paraId="7A15587B"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1FF06BD5"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65659BA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54.663333</w:t>
            </w:r>
          </w:p>
        </w:tc>
        <w:tc>
          <w:tcPr>
            <w:tcW w:w="354" w:type="pct"/>
            <w:tcBorders>
              <w:top w:val="nil"/>
              <w:left w:val="nil"/>
              <w:bottom w:val="single" w:sz="4" w:space="0" w:color="auto"/>
              <w:right w:val="single" w:sz="4" w:space="0" w:color="auto"/>
            </w:tcBorders>
            <w:shd w:val="clear" w:color="auto" w:fill="auto"/>
            <w:noWrap/>
            <w:vAlign w:val="center"/>
            <w:hideMark/>
          </w:tcPr>
          <w:p w14:paraId="061218C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2.485000</w:t>
            </w:r>
          </w:p>
        </w:tc>
        <w:tc>
          <w:tcPr>
            <w:tcW w:w="344" w:type="pct"/>
            <w:tcBorders>
              <w:top w:val="nil"/>
              <w:left w:val="nil"/>
              <w:bottom w:val="single" w:sz="4" w:space="0" w:color="auto"/>
              <w:right w:val="single" w:sz="4" w:space="0" w:color="auto"/>
            </w:tcBorders>
            <w:shd w:val="clear" w:color="auto" w:fill="auto"/>
            <w:noWrap/>
            <w:vAlign w:val="center"/>
            <w:hideMark/>
          </w:tcPr>
          <w:p w14:paraId="7F4CAD4E"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54.663333</w:t>
            </w:r>
          </w:p>
        </w:tc>
        <w:tc>
          <w:tcPr>
            <w:tcW w:w="358" w:type="pct"/>
            <w:tcBorders>
              <w:top w:val="nil"/>
              <w:left w:val="nil"/>
              <w:bottom w:val="single" w:sz="4" w:space="0" w:color="auto"/>
              <w:right w:val="single" w:sz="4" w:space="0" w:color="auto"/>
            </w:tcBorders>
            <w:shd w:val="clear" w:color="auto" w:fill="auto"/>
            <w:noWrap/>
            <w:vAlign w:val="center"/>
            <w:hideMark/>
          </w:tcPr>
          <w:p w14:paraId="3BA17994"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2.485000</w:t>
            </w:r>
          </w:p>
        </w:tc>
      </w:tr>
      <w:tr w:rsidR="003A0626" w:rsidRPr="00B91524" w14:paraId="1C78DD1C"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799A1141"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16</w:t>
            </w:r>
          </w:p>
        </w:tc>
        <w:tc>
          <w:tcPr>
            <w:tcW w:w="343" w:type="pct"/>
            <w:tcBorders>
              <w:top w:val="nil"/>
              <w:left w:val="nil"/>
              <w:bottom w:val="single" w:sz="4" w:space="0" w:color="auto"/>
              <w:right w:val="single" w:sz="4" w:space="0" w:color="auto"/>
            </w:tcBorders>
            <w:shd w:val="clear" w:color="auto" w:fill="auto"/>
            <w:noWrap/>
            <w:vAlign w:val="center"/>
            <w:hideMark/>
          </w:tcPr>
          <w:p w14:paraId="2694D3E4"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59</w:t>
            </w:r>
          </w:p>
        </w:tc>
        <w:tc>
          <w:tcPr>
            <w:tcW w:w="2679" w:type="pct"/>
            <w:tcBorders>
              <w:top w:val="nil"/>
              <w:left w:val="nil"/>
              <w:bottom w:val="single" w:sz="4" w:space="0" w:color="auto"/>
              <w:right w:val="single" w:sz="4" w:space="0" w:color="auto"/>
            </w:tcBorders>
            <w:shd w:val="clear" w:color="auto" w:fill="auto"/>
            <w:noWrap/>
            <w:vAlign w:val="center"/>
            <w:hideMark/>
          </w:tcPr>
          <w:p w14:paraId="36918D3F"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08E4854E"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41DAA58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54.790833</w:t>
            </w:r>
          </w:p>
        </w:tc>
        <w:tc>
          <w:tcPr>
            <w:tcW w:w="354" w:type="pct"/>
            <w:tcBorders>
              <w:top w:val="nil"/>
              <w:left w:val="nil"/>
              <w:bottom w:val="single" w:sz="4" w:space="0" w:color="auto"/>
              <w:right w:val="single" w:sz="4" w:space="0" w:color="auto"/>
            </w:tcBorders>
            <w:shd w:val="clear" w:color="auto" w:fill="auto"/>
            <w:noWrap/>
            <w:vAlign w:val="center"/>
            <w:hideMark/>
          </w:tcPr>
          <w:p w14:paraId="7C0CFB9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2.319167</w:t>
            </w:r>
          </w:p>
        </w:tc>
        <w:tc>
          <w:tcPr>
            <w:tcW w:w="344" w:type="pct"/>
            <w:tcBorders>
              <w:top w:val="nil"/>
              <w:left w:val="nil"/>
              <w:bottom w:val="single" w:sz="4" w:space="0" w:color="auto"/>
              <w:right w:val="single" w:sz="4" w:space="0" w:color="auto"/>
            </w:tcBorders>
            <w:shd w:val="clear" w:color="auto" w:fill="auto"/>
            <w:noWrap/>
            <w:vAlign w:val="center"/>
            <w:hideMark/>
          </w:tcPr>
          <w:p w14:paraId="191DB27E"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54.790833</w:t>
            </w:r>
          </w:p>
        </w:tc>
        <w:tc>
          <w:tcPr>
            <w:tcW w:w="358" w:type="pct"/>
            <w:tcBorders>
              <w:top w:val="nil"/>
              <w:left w:val="nil"/>
              <w:bottom w:val="single" w:sz="4" w:space="0" w:color="auto"/>
              <w:right w:val="single" w:sz="4" w:space="0" w:color="auto"/>
            </w:tcBorders>
            <w:shd w:val="clear" w:color="auto" w:fill="auto"/>
            <w:noWrap/>
            <w:vAlign w:val="center"/>
            <w:hideMark/>
          </w:tcPr>
          <w:p w14:paraId="23555A60"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2.319167</w:t>
            </w:r>
          </w:p>
        </w:tc>
      </w:tr>
      <w:tr w:rsidR="003A0626" w:rsidRPr="00B91524" w14:paraId="4AA626AE"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63C7328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17</w:t>
            </w:r>
          </w:p>
        </w:tc>
        <w:tc>
          <w:tcPr>
            <w:tcW w:w="343" w:type="pct"/>
            <w:tcBorders>
              <w:top w:val="nil"/>
              <w:left w:val="nil"/>
              <w:bottom w:val="single" w:sz="4" w:space="0" w:color="auto"/>
              <w:right w:val="single" w:sz="4" w:space="0" w:color="auto"/>
            </w:tcBorders>
            <w:shd w:val="clear" w:color="auto" w:fill="auto"/>
            <w:noWrap/>
            <w:vAlign w:val="center"/>
            <w:hideMark/>
          </w:tcPr>
          <w:p w14:paraId="6BEAE140"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60</w:t>
            </w:r>
          </w:p>
        </w:tc>
        <w:tc>
          <w:tcPr>
            <w:tcW w:w="2679" w:type="pct"/>
            <w:tcBorders>
              <w:top w:val="nil"/>
              <w:left w:val="nil"/>
              <w:bottom w:val="single" w:sz="4" w:space="0" w:color="auto"/>
              <w:right w:val="single" w:sz="4" w:space="0" w:color="auto"/>
            </w:tcBorders>
            <w:shd w:val="clear" w:color="auto" w:fill="auto"/>
            <w:noWrap/>
            <w:vAlign w:val="center"/>
            <w:hideMark/>
          </w:tcPr>
          <w:p w14:paraId="2CD03D87"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Moved 1540 m North to avoid conflict with Dogger Bank C export cable</w:t>
            </w:r>
          </w:p>
        </w:tc>
        <w:tc>
          <w:tcPr>
            <w:tcW w:w="293" w:type="pct"/>
            <w:tcBorders>
              <w:top w:val="nil"/>
              <w:left w:val="nil"/>
              <w:bottom w:val="single" w:sz="4" w:space="0" w:color="auto"/>
              <w:right w:val="single" w:sz="4" w:space="0" w:color="auto"/>
            </w:tcBorders>
            <w:shd w:val="clear" w:color="auto" w:fill="auto"/>
            <w:noWrap/>
            <w:vAlign w:val="center"/>
            <w:hideMark/>
          </w:tcPr>
          <w:p w14:paraId="4BD51F76"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4A24CD4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54.845667</w:t>
            </w:r>
          </w:p>
        </w:tc>
        <w:tc>
          <w:tcPr>
            <w:tcW w:w="354" w:type="pct"/>
            <w:tcBorders>
              <w:top w:val="nil"/>
              <w:left w:val="nil"/>
              <w:bottom w:val="single" w:sz="4" w:space="0" w:color="auto"/>
              <w:right w:val="single" w:sz="4" w:space="0" w:color="auto"/>
            </w:tcBorders>
            <w:shd w:val="clear" w:color="auto" w:fill="auto"/>
            <w:noWrap/>
            <w:vAlign w:val="center"/>
            <w:hideMark/>
          </w:tcPr>
          <w:p w14:paraId="00E40DB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2.086667</w:t>
            </w:r>
          </w:p>
        </w:tc>
        <w:tc>
          <w:tcPr>
            <w:tcW w:w="344" w:type="pct"/>
            <w:tcBorders>
              <w:top w:val="nil"/>
              <w:left w:val="nil"/>
              <w:bottom w:val="single" w:sz="4" w:space="0" w:color="auto"/>
              <w:right w:val="single" w:sz="4" w:space="0" w:color="auto"/>
            </w:tcBorders>
            <w:shd w:val="clear" w:color="auto" w:fill="auto"/>
            <w:noWrap/>
            <w:vAlign w:val="center"/>
            <w:hideMark/>
          </w:tcPr>
          <w:p w14:paraId="47EECEB1"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54.859507</w:t>
            </w:r>
          </w:p>
        </w:tc>
        <w:tc>
          <w:tcPr>
            <w:tcW w:w="358" w:type="pct"/>
            <w:tcBorders>
              <w:top w:val="nil"/>
              <w:left w:val="nil"/>
              <w:bottom w:val="single" w:sz="4" w:space="0" w:color="auto"/>
              <w:right w:val="single" w:sz="4" w:space="0" w:color="auto"/>
            </w:tcBorders>
            <w:shd w:val="clear" w:color="auto" w:fill="auto"/>
            <w:noWrap/>
            <w:vAlign w:val="center"/>
            <w:hideMark/>
          </w:tcPr>
          <w:p w14:paraId="2F7C326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2.086049</w:t>
            </w:r>
          </w:p>
        </w:tc>
      </w:tr>
      <w:tr w:rsidR="003A0626" w:rsidRPr="00B91524" w14:paraId="65AF7E08"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6326C0D1"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18</w:t>
            </w:r>
          </w:p>
        </w:tc>
        <w:tc>
          <w:tcPr>
            <w:tcW w:w="343" w:type="pct"/>
            <w:tcBorders>
              <w:top w:val="nil"/>
              <w:left w:val="nil"/>
              <w:bottom w:val="single" w:sz="4" w:space="0" w:color="auto"/>
              <w:right w:val="single" w:sz="4" w:space="0" w:color="auto"/>
            </w:tcBorders>
            <w:shd w:val="clear" w:color="auto" w:fill="auto"/>
            <w:noWrap/>
            <w:vAlign w:val="center"/>
            <w:hideMark/>
          </w:tcPr>
          <w:p w14:paraId="60C0096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61</w:t>
            </w:r>
          </w:p>
        </w:tc>
        <w:tc>
          <w:tcPr>
            <w:tcW w:w="2679" w:type="pct"/>
            <w:tcBorders>
              <w:top w:val="nil"/>
              <w:left w:val="nil"/>
              <w:bottom w:val="single" w:sz="4" w:space="0" w:color="auto"/>
              <w:right w:val="single" w:sz="4" w:space="0" w:color="auto"/>
            </w:tcBorders>
            <w:shd w:val="clear" w:color="auto" w:fill="auto"/>
            <w:noWrap/>
            <w:vAlign w:val="center"/>
            <w:hideMark/>
          </w:tcPr>
          <w:p w14:paraId="4236DCAA"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4DBC2A77"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46B606B9"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54.990167</w:t>
            </w:r>
          </w:p>
        </w:tc>
        <w:tc>
          <w:tcPr>
            <w:tcW w:w="354" w:type="pct"/>
            <w:tcBorders>
              <w:top w:val="nil"/>
              <w:left w:val="nil"/>
              <w:bottom w:val="single" w:sz="4" w:space="0" w:color="auto"/>
              <w:right w:val="single" w:sz="4" w:space="0" w:color="auto"/>
            </w:tcBorders>
            <w:shd w:val="clear" w:color="auto" w:fill="auto"/>
            <w:noWrap/>
            <w:vAlign w:val="center"/>
            <w:hideMark/>
          </w:tcPr>
          <w:p w14:paraId="502CCBD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2.091500</w:t>
            </w:r>
          </w:p>
        </w:tc>
        <w:tc>
          <w:tcPr>
            <w:tcW w:w="344" w:type="pct"/>
            <w:tcBorders>
              <w:top w:val="nil"/>
              <w:left w:val="nil"/>
              <w:bottom w:val="single" w:sz="4" w:space="0" w:color="auto"/>
              <w:right w:val="single" w:sz="4" w:space="0" w:color="auto"/>
            </w:tcBorders>
            <w:shd w:val="clear" w:color="auto" w:fill="auto"/>
            <w:noWrap/>
            <w:vAlign w:val="center"/>
            <w:hideMark/>
          </w:tcPr>
          <w:p w14:paraId="6194A86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54.990167</w:t>
            </w:r>
          </w:p>
        </w:tc>
        <w:tc>
          <w:tcPr>
            <w:tcW w:w="358" w:type="pct"/>
            <w:tcBorders>
              <w:top w:val="nil"/>
              <w:left w:val="nil"/>
              <w:bottom w:val="single" w:sz="4" w:space="0" w:color="auto"/>
              <w:right w:val="single" w:sz="4" w:space="0" w:color="auto"/>
            </w:tcBorders>
            <w:shd w:val="clear" w:color="auto" w:fill="auto"/>
            <w:noWrap/>
            <w:vAlign w:val="center"/>
            <w:hideMark/>
          </w:tcPr>
          <w:p w14:paraId="1F0D8B8E"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2.091500</w:t>
            </w:r>
          </w:p>
        </w:tc>
      </w:tr>
      <w:tr w:rsidR="003A0626" w:rsidRPr="00B91524" w14:paraId="1B7EDE1D"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1882E2A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20</w:t>
            </w:r>
          </w:p>
        </w:tc>
        <w:tc>
          <w:tcPr>
            <w:tcW w:w="343" w:type="pct"/>
            <w:tcBorders>
              <w:top w:val="nil"/>
              <w:left w:val="nil"/>
              <w:bottom w:val="single" w:sz="4" w:space="0" w:color="auto"/>
              <w:right w:val="single" w:sz="4" w:space="0" w:color="auto"/>
            </w:tcBorders>
            <w:shd w:val="clear" w:color="auto" w:fill="auto"/>
            <w:noWrap/>
            <w:vAlign w:val="center"/>
            <w:hideMark/>
          </w:tcPr>
          <w:p w14:paraId="703D1FA4"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62</w:t>
            </w:r>
          </w:p>
        </w:tc>
        <w:tc>
          <w:tcPr>
            <w:tcW w:w="2679" w:type="pct"/>
            <w:tcBorders>
              <w:top w:val="nil"/>
              <w:left w:val="nil"/>
              <w:bottom w:val="single" w:sz="4" w:space="0" w:color="auto"/>
              <w:right w:val="single" w:sz="4" w:space="0" w:color="auto"/>
            </w:tcBorders>
            <w:shd w:val="clear" w:color="auto" w:fill="auto"/>
            <w:noWrap/>
            <w:vAlign w:val="center"/>
            <w:hideMark/>
          </w:tcPr>
          <w:p w14:paraId="73F3B8A8"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67FFFC64"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62826FC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54.937500</w:t>
            </w:r>
          </w:p>
        </w:tc>
        <w:tc>
          <w:tcPr>
            <w:tcW w:w="354" w:type="pct"/>
            <w:tcBorders>
              <w:top w:val="nil"/>
              <w:left w:val="nil"/>
              <w:bottom w:val="single" w:sz="4" w:space="0" w:color="auto"/>
              <w:right w:val="single" w:sz="4" w:space="0" w:color="auto"/>
            </w:tcBorders>
            <w:shd w:val="clear" w:color="auto" w:fill="auto"/>
            <w:noWrap/>
            <w:vAlign w:val="center"/>
            <w:hideMark/>
          </w:tcPr>
          <w:p w14:paraId="410805C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2.328333</w:t>
            </w:r>
          </w:p>
        </w:tc>
        <w:tc>
          <w:tcPr>
            <w:tcW w:w="344" w:type="pct"/>
            <w:tcBorders>
              <w:top w:val="nil"/>
              <w:left w:val="nil"/>
              <w:bottom w:val="single" w:sz="4" w:space="0" w:color="auto"/>
              <w:right w:val="single" w:sz="4" w:space="0" w:color="auto"/>
            </w:tcBorders>
            <w:shd w:val="clear" w:color="auto" w:fill="auto"/>
            <w:noWrap/>
            <w:vAlign w:val="center"/>
            <w:hideMark/>
          </w:tcPr>
          <w:p w14:paraId="6BD1A7B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54.937500</w:t>
            </w:r>
          </w:p>
        </w:tc>
        <w:tc>
          <w:tcPr>
            <w:tcW w:w="358" w:type="pct"/>
            <w:tcBorders>
              <w:top w:val="nil"/>
              <w:left w:val="nil"/>
              <w:bottom w:val="single" w:sz="4" w:space="0" w:color="auto"/>
              <w:right w:val="single" w:sz="4" w:space="0" w:color="auto"/>
            </w:tcBorders>
            <w:shd w:val="clear" w:color="auto" w:fill="auto"/>
            <w:noWrap/>
            <w:vAlign w:val="center"/>
            <w:hideMark/>
          </w:tcPr>
          <w:p w14:paraId="651CC35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2.328333</w:t>
            </w:r>
          </w:p>
        </w:tc>
      </w:tr>
      <w:tr w:rsidR="003A0626" w:rsidRPr="00B91524" w14:paraId="3BDE00CA"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6D1BBB8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lastRenderedPageBreak/>
              <w:t>21</w:t>
            </w:r>
          </w:p>
        </w:tc>
        <w:tc>
          <w:tcPr>
            <w:tcW w:w="343" w:type="pct"/>
            <w:tcBorders>
              <w:top w:val="nil"/>
              <w:left w:val="nil"/>
              <w:bottom w:val="single" w:sz="4" w:space="0" w:color="auto"/>
              <w:right w:val="single" w:sz="4" w:space="0" w:color="auto"/>
            </w:tcBorders>
            <w:shd w:val="clear" w:color="auto" w:fill="auto"/>
            <w:noWrap/>
            <w:vAlign w:val="center"/>
            <w:hideMark/>
          </w:tcPr>
          <w:p w14:paraId="5BF5FE5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63</w:t>
            </w:r>
          </w:p>
        </w:tc>
        <w:tc>
          <w:tcPr>
            <w:tcW w:w="2679" w:type="pct"/>
            <w:tcBorders>
              <w:top w:val="nil"/>
              <w:left w:val="nil"/>
              <w:bottom w:val="single" w:sz="4" w:space="0" w:color="auto"/>
              <w:right w:val="single" w:sz="4" w:space="0" w:color="auto"/>
            </w:tcBorders>
            <w:shd w:val="clear" w:color="auto" w:fill="auto"/>
            <w:noWrap/>
            <w:vAlign w:val="center"/>
            <w:hideMark/>
          </w:tcPr>
          <w:p w14:paraId="072B106C"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1A21B749"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1A8119E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54.872500</w:t>
            </w:r>
          </w:p>
        </w:tc>
        <w:tc>
          <w:tcPr>
            <w:tcW w:w="354" w:type="pct"/>
            <w:tcBorders>
              <w:top w:val="nil"/>
              <w:left w:val="nil"/>
              <w:bottom w:val="single" w:sz="4" w:space="0" w:color="auto"/>
              <w:right w:val="single" w:sz="4" w:space="0" w:color="auto"/>
            </w:tcBorders>
            <w:shd w:val="clear" w:color="auto" w:fill="auto"/>
            <w:noWrap/>
            <w:vAlign w:val="center"/>
            <w:hideMark/>
          </w:tcPr>
          <w:p w14:paraId="65CB771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2.604167</w:t>
            </w:r>
          </w:p>
        </w:tc>
        <w:tc>
          <w:tcPr>
            <w:tcW w:w="344" w:type="pct"/>
            <w:tcBorders>
              <w:top w:val="nil"/>
              <w:left w:val="nil"/>
              <w:bottom w:val="single" w:sz="4" w:space="0" w:color="auto"/>
              <w:right w:val="single" w:sz="4" w:space="0" w:color="auto"/>
            </w:tcBorders>
            <w:shd w:val="clear" w:color="auto" w:fill="auto"/>
            <w:noWrap/>
            <w:vAlign w:val="center"/>
            <w:hideMark/>
          </w:tcPr>
          <w:p w14:paraId="49A5058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54.872500</w:t>
            </w:r>
          </w:p>
        </w:tc>
        <w:tc>
          <w:tcPr>
            <w:tcW w:w="358" w:type="pct"/>
            <w:tcBorders>
              <w:top w:val="nil"/>
              <w:left w:val="nil"/>
              <w:bottom w:val="single" w:sz="4" w:space="0" w:color="auto"/>
              <w:right w:val="single" w:sz="4" w:space="0" w:color="auto"/>
            </w:tcBorders>
            <w:shd w:val="clear" w:color="auto" w:fill="auto"/>
            <w:noWrap/>
            <w:vAlign w:val="center"/>
            <w:hideMark/>
          </w:tcPr>
          <w:p w14:paraId="5AD1C0C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2.604167</w:t>
            </w:r>
          </w:p>
        </w:tc>
      </w:tr>
      <w:tr w:rsidR="003A0626" w:rsidRPr="00B91524" w14:paraId="19D7007F"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4ED12571"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22</w:t>
            </w:r>
          </w:p>
        </w:tc>
        <w:tc>
          <w:tcPr>
            <w:tcW w:w="343" w:type="pct"/>
            <w:tcBorders>
              <w:top w:val="nil"/>
              <w:left w:val="nil"/>
              <w:bottom w:val="single" w:sz="4" w:space="0" w:color="auto"/>
              <w:right w:val="single" w:sz="4" w:space="0" w:color="auto"/>
            </w:tcBorders>
            <w:shd w:val="clear" w:color="auto" w:fill="auto"/>
            <w:noWrap/>
            <w:vAlign w:val="center"/>
            <w:hideMark/>
          </w:tcPr>
          <w:p w14:paraId="489634A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64</w:t>
            </w:r>
          </w:p>
        </w:tc>
        <w:tc>
          <w:tcPr>
            <w:tcW w:w="2679" w:type="pct"/>
            <w:tcBorders>
              <w:top w:val="nil"/>
              <w:left w:val="nil"/>
              <w:bottom w:val="single" w:sz="4" w:space="0" w:color="auto"/>
              <w:right w:val="single" w:sz="4" w:space="0" w:color="auto"/>
            </w:tcBorders>
            <w:shd w:val="clear" w:color="auto" w:fill="auto"/>
            <w:noWrap/>
            <w:vAlign w:val="center"/>
            <w:hideMark/>
          </w:tcPr>
          <w:p w14:paraId="456E7A8E"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3A60608B"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1E648ED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54.769000</w:t>
            </w:r>
          </w:p>
        </w:tc>
        <w:tc>
          <w:tcPr>
            <w:tcW w:w="354" w:type="pct"/>
            <w:tcBorders>
              <w:top w:val="nil"/>
              <w:left w:val="nil"/>
              <w:bottom w:val="single" w:sz="4" w:space="0" w:color="auto"/>
              <w:right w:val="single" w:sz="4" w:space="0" w:color="auto"/>
            </w:tcBorders>
            <w:shd w:val="clear" w:color="auto" w:fill="auto"/>
            <w:noWrap/>
            <w:vAlign w:val="center"/>
            <w:hideMark/>
          </w:tcPr>
          <w:p w14:paraId="12C96A0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2.542167</w:t>
            </w:r>
          </w:p>
        </w:tc>
        <w:tc>
          <w:tcPr>
            <w:tcW w:w="344" w:type="pct"/>
            <w:tcBorders>
              <w:top w:val="nil"/>
              <w:left w:val="nil"/>
              <w:bottom w:val="single" w:sz="4" w:space="0" w:color="auto"/>
              <w:right w:val="single" w:sz="4" w:space="0" w:color="auto"/>
            </w:tcBorders>
            <w:shd w:val="clear" w:color="auto" w:fill="auto"/>
            <w:noWrap/>
            <w:vAlign w:val="center"/>
            <w:hideMark/>
          </w:tcPr>
          <w:p w14:paraId="53F4B1A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54.769000</w:t>
            </w:r>
          </w:p>
        </w:tc>
        <w:tc>
          <w:tcPr>
            <w:tcW w:w="358" w:type="pct"/>
            <w:tcBorders>
              <w:top w:val="nil"/>
              <w:left w:val="nil"/>
              <w:bottom w:val="single" w:sz="4" w:space="0" w:color="auto"/>
              <w:right w:val="single" w:sz="4" w:space="0" w:color="auto"/>
            </w:tcBorders>
            <w:shd w:val="clear" w:color="auto" w:fill="auto"/>
            <w:noWrap/>
            <w:vAlign w:val="center"/>
            <w:hideMark/>
          </w:tcPr>
          <w:p w14:paraId="6D4F64B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2.542167</w:t>
            </w:r>
          </w:p>
        </w:tc>
      </w:tr>
      <w:tr w:rsidR="003A0626" w:rsidRPr="00B91524" w14:paraId="1362AE80"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683AB71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23</w:t>
            </w:r>
          </w:p>
        </w:tc>
        <w:tc>
          <w:tcPr>
            <w:tcW w:w="343" w:type="pct"/>
            <w:tcBorders>
              <w:top w:val="nil"/>
              <w:left w:val="nil"/>
              <w:bottom w:val="single" w:sz="4" w:space="0" w:color="auto"/>
              <w:right w:val="single" w:sz="4" w:space="0" w:color="auto"/>
            </w:tcBorders>
            <w:shd w:val="clear" w:color="auto" w:fill="auto"/>
            <w:noWrap/>
            <w:vAlign w:val="center"/>
            <w:hideMark/>
          </w:tcPr>
          <w:p w14:paraId="2F8FCF7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65</w:t>
            </w:r>
          </w:p>
        </w:tc>
        <w:tc>
          <w:tcPr>
            <w:tcW w:w="2679" w:type="pct"/>
            <w:tcBorders>
              <w:top w:val="nil"/>
              <w:left w:val="nil"/>
              <w:bottom w:val="single" w:sz="4" w:space="0" w:color="auto"/>
              <w:right w:val="single" w:sz="4" w:space="0" w:color="auto"/>
            </w:tcBorders>
            <w:shd w:val="clear" w:color="auto" w:fill="auto"/>
            <w:noWrap/>
            <w:vAlign w:val="center"/>
            <w:hideMark/>
          </w:tcPr>
          <w:p w14:paraId="3B16F2B4"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7A69C17F"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46312AB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54.741000</w:t>
            </w:r>
          </w:p>
        </w:tc>
        <w:tc>
          <w:tcPr>
            <w:tcW w:w="354" w:type="pct"/>
            <w:tcBorders>
              <w:top w:val="nil"/>
              <w:left w:val="nil"/>
              <w:bottom w:val="single" w:sz="4" w:space="0" w:color="auto"/>
              <w:right w:val="single" w:sz="4" w:space="0" w:color="auto"/>
            </w:tcBorders>
            <w:shd w:val="clear" w:color="auto" w:fill="auto"/>
            <w:noWrap/>
            <w:vAlign w:val="center"/>
            <w:hideMark/>
          </w:tcPr>
          <w:p w14:paraId="6741430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2.767667</w:t>
            </w:r>
          </w:p>
        </w:tc>
        <w:tc>
          <w:tcPr>
            <w:tcW w:w="344" w:type="pct"/>
            <w:tcBorders>
              <w:top w:val="nil"/>
              <w:left w:val="nil"/>
              <w:bottom w:val="single" w:sz="4" w:space="0" w:color="auto"/>
              <w:right w:val="single" w:sz="4" w:space="0" w:color="auto"/>
            </w:tcBorders>
            <w:shd w:val="clear" w:color="auto" w:fill="auto"/>
            <w:noWrap/>
            <w:vAlign w:val="center"/>
            <w:hideMark/>
          </w:tcPr>
          <w:p w14:paraId="4DB5C12E"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54.741000</w:t>
            </w:r>
          </w:p>
        </w:tc>
        <w:tc>
          <w:tcPr>
            <w:tcW w:w="358" w:type="pct"/>
            <w:tcBorders>
              <w:top w:val="nil"/>
              <w:left w:val="nil"/>
              <w:bottom w:val="single" w:sz="4" w:space="0" w:color="auto"/>
              <w:right w:val="single" w:sz="4" w:space="0" w:color="auto"/>
            </w:tcBorders>
            <w:shd w:val="clear" w:color="auto" w:fill="auto"/>
            <w:noWrap/>
            <w:vAlign w:val="center"/>
            <w:hideMark/>
          </w:tcPr>
          <w:p w14:paraId="50C0E6C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2.767667</w:t>
            </w:r>
          </w:p>
        </w:tc>
      </w:tr>
      <w:tr w:rsidR="003A0626" w:rsidRPr="00B91524" w14:paraId="2AF25597"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4BCD132E"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24</w:t>
            </w:r>
          </w:p>
        </w:tc>
        <w:tc>
          <w:tcPr>
            <w:tcW w:w="343" w:type="pct"/>
            <w:tcBorders>
              <w:top w:val="nil"/>
              <w:left w:val="nil"/>
              <w:bottom w:val="single" w:sz="4" w:space="0" w:color="auto"/>
              <w:right w:val="single" w:sz="4" w:space="0" w:color="auto"/>
            </w:tcBorders>
            <w:shd w:val="clear" w:color="auto" w:fill="auto"/>
            <w:noWrap/>
            <w:vAlign w:val="center"/>
            <w:hideMark/>
          </w:tcPr>
          <w:p w14:paraId="1565ABC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66</w:t>
            </w:r>
          </w:p>
        </w:tc>
        <w:tc>
          <w:tcPr>
            <w:tcW w:w="2679" w:type="pct"/>
            <w:tcBorders>
              <w:top w:val="nil"/>
              <w:left w:val="nil"/>
              <w:bottom w:val="single" w:sz="4" w:space="0" w:color="auto"/>
              <w:right w:val="single" w:sz="4" w:space="0" w:color="auto"/>
            </w:tcBorders>
            <w:shd w:val="clear" w:color="auto" w:fill="auto"/>
            <w:noWrap/>
            <w:vAlign w:val="center"/>
            <w:hideMark/>
          </w:tcPr>
          <w:p w14:paraId="787B7928"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33E3F682"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4B74A02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54.926667</w:t>
            </w:r>
          </w:p>
        </w:tc>
        <w:tc>
          <w:tcPr>
            <w:tcW w:w="354" w:type="pct"/>
            <w:tcBorders>
              <w:top w:val="nil"/>
              <w:left w:val="nil"/>
              <w:bottom w:val="single" w:sz="4" w:space="0" w:color="auto"/>
              <w:right w:val="single" w:sz="4" w:space="0" w:color="auto"/>
            </w:tcBorders>
            <w:shd w:val="clear" w:color="auto" w:fill="auto"/>
            <w:noWrap/>
            <w:vAlign w:val="center"/>
            <w:hideMark/>
          </w:tcPr>
          <w:p w14:paraId="54320570"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2.950000</w:t>
            </w:r>
          </w:p>
        </w:tc>
        <w:tc>
          <w:tcPr>
            <w:tcW w:w="344" w:type="pct"/>
            <w:tcBorders>
              <w:top w:val="nil"/>
              <w:left w:val="nil"/>
              <w:bottom w:val="single" w:sz="4" w:space="0" w:color="auto"/>
              <w:right w:val="single" w:sz="4" w:space="0" w:color="auto"/>
            </w:tcBorders>
            <w:shd w:val="clear" w:color="auto" w:fill="auto"/>
            <w:noWrap/>
            <w:vAlign w:val="center"/>
            <w:hideMark/>
          </w:tcPr>
          <w:p w14:paraId="1E0775C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54.926667</w:t>
            </w:r>
          </w:p>
        </w:tc>
        <w:tc>
          <w:tcPr>
            <w:tcW w:w="358" w:type="pct"/>
            <w:tcBorders>
              <w:top w:val="nil"/>
              <w:left w:val="nil"/>
              <w:bottom w:val="single" w:sz="4" w:space="0" w:color="auto"/>
              <w:right w:val="single" w:sz="4" w:space="0" w:color="auto"/>
            </w:tcBorders>
            <w:shd w:val="clear" w:color="auto" w:fill="auto"/>
            <w:noWrap/>
            <w:vAlign w:val="center"/>
            <w:hideMark/>
          </w:tcPr>
          <w:p w14:paraId="1F3E0FD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2.950000</w:t>
            </w:r>
          </w:p>
        </w:tc>
      </w:tr>
      <w:tr w:rsidR="003A0626" w:rsidRPr="00B91524" w14:paraId="7361D99E"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2DCA5B5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25</w:t>
            </w:r>
          </w:p>
        </w:tc>
        <w:tc>
          <w:tcPr>
            <w:tcW w:w="343" w:type="pct"/>
            <w:tcBorders>
              <w:top w:val="nil"/>
              <w:left w:val="nil"/>
              <w:bottom w:val="single" w:sz="4" w:space="0" w:color="auto"/>
              <w:right w:val="single" w:sz="4" w:space="0" w:color="auto"/>
            </w:tcBorders>
            <w:shd w:val="clear" w:color="auto" w:fill="auto"/>
            <w:noWrap/>
            <w:vAlign w:val="center"/>
            <w:hideMark/>
          </w:tcPr>
          <w:p w14:paraId="471E2DF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67</w:t>
            </w:r>
          </w:p>
        </w:tc>
        <w:tc>
          <w:tcPr>
            <w:tcW w:w="2679" w:type="pct"/>
            <w:tcBorders>
              <w:top w:val="nil"/>
              <w:left w:val="nil"/>
              <w:bottom w:val="single" w:sz="4" w:space="0" w:color="auto"/>
              <w:right w:val="single" w:sz="4" w:space="0" w:color="auto"/>
            </w:tcBorders>
            <w:shd w:val="clear" w:color="auto" w:fill="auto"/>
            <w:noWrap/>
            <w:vAlign w:val="center"/>
            <w:hideMark/>
          </w:tcPr>
          <w:p w14:paraId="6BD6E42D"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2DFC8510"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4B89943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54.819000</w:t>
            </w:r>
          </w:p>
        </w:tc>
        <w:tc>
          <w:tcPr>
            <w:tcW w:w="354" w:type="pct"/>
            <w:tcBorders>
              <w:top w:val="nil"/>
              <w:left w:val="nil"/>
              <w:bottom w:val="single" w:sz="4" w:space="0" w:color="auto"/>
              <w:right w:val="single" w:sz="4" w:space="0" w:color="auto"/>
            </w:tcBorders>
            <w:shd w:val="clear" w:color="auto" w:fill="auto"/>
            <w:noWrap/>
            <w:vAlign w:val="center"/>
            <w:hideMark/>
          </w:tcPr>
          <w:p w14:paraId="78092221"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3.055000</w:t>
            </w:r>
          </w:p>
        </w:tc>
        <w:tc>
          <w:tcPr>
            <w:tcW w:w="344" w:type="pct"/>
            <w:tcBorders>
              <w:top w:val="nil"/>
              <w:left w:val="nil"/>
              <w:bottom w:val="single" w:sz="4" w:space="0" w:color="auto"/>
              <w:right w:val="single" w:sz="4" w:space="0" w:color="auto"/>
            </w:tcBorders>
            <w:shd w:val="clear" w:color="auto" w:fill="auto"/>
            <w:noWrap/>
            <w:vAlign w:val="center"/>
            <w:hideMark/>
          </w:tcPr>
          <w:p w14:paraId="116F45C0"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54.819000</w:t>
            </w:r>
          </w:p>
        </w:tc>
        <w:tc>
          <w:tcPr>
            <w:tcW w:w="358" w:type="pct"/>
            <w:tcBorders>
              <w:top w:val="nil"/>
              <w:left w:val="nil"/>
              <w:bottom w:val="single" w:sz="4" w:space="0" w:color="auto"/>
              <w:right w:val="single" w:sz="4" w:space="0" w:color="auto"/>
            </w:tcBorders>
            <w:shd w:val="clear" w:color="auto" w:fill="auto"/>
            <w:noWrap/>
            <w:vAlign w:val="center"/>
            <w:hideMark/>
          </w:tcPr>
          <w:p w14:paraId="74D390A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3.055000</w:t>
            </w:r>
          </w:p>
        </w:tc>
      </w:tr>
      <w:tr w:rsidR="003A0626" w:rsidRPr="00B91524" w14:paraId="125B9E28"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0BE6790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26</w:t>
            </w:r>
          </w:p>
        </w:tc>
        <w:tc>
          <w:tcPr>
            <w:tcW w:w="343" w:type="pct"/>
            <w:tcBorders>
              <w:top w:val="nil"/>
              <w:left w:val="nil"/>
              <w:bottom w:val="single" w:sz="4" w:space="0" w:color="auto"/>
              <w:right w:val="single" w:sz="4" w:space="0" w:color="auto"/>
            </w:tcBorders>
            <w:shd w:val="clear" w:color="auto" w:fill="auto"/>
            <w:noWrap/>
            <w:vAlign w:val="center"/>
            <w:hideMark/>
          </w:tcPr>
          <w:p w14:paraId="23BD303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68</w:t>
            </w:r>
          </w:p>
        </w:tc>
        <w:tc>
          <w:tcPr>
            <w:tcW w:w="2679" w:type="pct"/>
            <w:tcBorders>
              <w:top w:val="nil"/>
              <w:left w:val="nil"/>
              <w:bottom w:val="single" w:sz="4" w:space="0" w:color="auto"/>
              <w:right w:val="single" w:sz="4" w:space="0" w:color="auto"/>
            </w:tcBorders>
            <w:shd w:val="clear" w:color="auto" w:fill="auto"/>
            <w:noWrap/>
            <w:vAlign w:val="center"/>
            <w:hideMark/>
          </w:tcPr>
          <w:p w14:paraId="2BF0B7A8"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Moved 316 m North to avoid conflict with cables</w:t>
            </w:r>
          </w:p>
        </w:tc>
        <w:tc>
          <w:tcPr>
            <w:tcW w:w="293" w:type="pct"/>
            <w:tcBorders>
              <w:top w:val="nil"/>
              <w:left w:val="nil"/>
              <w:bottom w:val="single" w:sz="4" w:space="0" w:color="auto"/>
              <w:right w:val="single" w:sz="4" w:space="0" w:color="auto"/>
            </w:tcBorders>
            <w:shd w:val="clear" w:color="auto" w:fill="auto"/>
            <w:noWrap/>
            <w:vAlign w:val="center"/>
            <w:hideMark/>
          </w:tcPr>
          <w:p w14:paraId="4CC2688B"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5931856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54.845000</w:t>
            </w:r>
          </w:p>
        </w:tc>
        <w:tc>
          <w:tcPr>
            <w:tcW w:w="354" w:type="pct"/>
            <w:tcBorders>
              <w:top w:val="nil"/>
              <w:left w:val="nil"/>
              <w:bottom w:val="single" w:sz="4" w:space="0" w:color="auto"/>
              <w:right w:val="single" w:sz="4" w:space="0" w:color="auto"/>
            </w:tcBorders>
            <w:shd w:val="clear" w:color="auto" w:fill="auto"/>
            <w:noWrap/>
            <w:vAlign w:val="center"/>
            <w:hideMark/>
          </w:tcPr>
          <w:p w14:paraId="5BD758E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2.808333</w:t>
            </w:r>
          </w:p>
        </w:tc>
        <w:tc>
          <w:tcPr>
            <w:tcW w:w="344" w:type="pct"/>
            <w:tcBorders>
              <w:top w:val="nil"/>
              <w:left w:val="nil"/>
              <w:bottom w:val="single" w:sz="4" w:space="0" w:color="auto"/>
              <w:right w:val="single" w:sz="4" w:space="0" w:color="auto"/>
            </w:tcBorders>
            <w:shd w:val="clear" w:color="auto" w:fill="auto"/>
            <w:noWrap/>
            <w:vAlign w:val="center"/>
            <w:hideMark/>
          </w:tcPr>
          <w:p w14:paraId="6F7B186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54.847835</w:t>
            </w:r>
          </w:p>
        </w:tc>
        <w:tc>
          <w:tcPr>
            <w:tcW w:w="358" w:type="pct"/>
            <w:tcBorders>
              <w:top w:val="nil"/>
              <w:left w:val="nil"/>
              <w:bottom w:val="single" w:sz="4" w:space="0" w:color="auto"/>
              <w:right w:val="single" w:sz="4" w:space="0" w:color="auto"/>
            </w:tcBorders>
            <w:shd w:val="clear" w:color="auto" w:fill="auto"/>
            <w:noWrap/>
            <w:vAlign w:val="center"/>
            <w:hideMark/>
          </w:tcPr>
          <w:p w14:paraId="6064B409"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2.808052</w:t>
            </w:r>
          </w:p>
        </w:tc>
      </w:tr>
      <w:tr w:rsidR="003A0626" w:rsidRPr="00B91524" w14:paraId="4078D209"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5FCF12A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27</w:t>
            </w:r>
          </w:p>
        </w:tc>
        <w:tc>
          <w:tcPr>
            <w:tcW w:w="343" w:type="pct"/>
            <w:tcBorders>
              <w:top w:val="nil"/>
              <w:left w:val="nil"/>
              <w:bottom w:val="single" w:sz="4" w:space="0" w:color="auto"/>
              <w:right w:val="single" w:sz="4" w:space="0" w:color="auto"/>
            </w:tcBorders>
            <w:shd w:val="clear" w:color="auto" w:fill="auto"/>
            <w:noWrap/>
            <w:vAlign w:val="center"/>
            <w:hideMark/>
          </w:tcPr>
          <w:p w14:paraId="260CBF9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69</w:t>
            </w:r>
          </w:p>
        </w:tc>
        <w:tc>
          <w:tcPr>
            <w:tcW w:w="2679" w:type="pct"/>
            <w:tcBorders>
              <w:top w:val="nil"/>
              <w:left w:val="nil"/>
              <w:bottom w:val="single" w:sz="4" w:space="0" w:color="auto"/>
              <w:right w:val="single" w:sz="4" w:space="0" w:color="auto"/>
            </w:tcBorders>
            <w:shd w:val="clear" w:color="auto" w:fill="auto"/>
            <w:noWrap/>
            <w:vAlign w:val="center"/>
            <w:hideMark/>
          </w:tcPr>
          <w:p w14:paraId="521E8235"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7776053D"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05B3FB2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54.950000</w:t>
            </w:r>
          </w:p>
        </w:tc>
        <w:tc>
          <w:tcPr>
            <w:tcW w:w="354" w:type="pct"/>
            <w:tcBorders>
              <w:top w:val="nil"/>
              <w:left w:val="nil"/>
              <w:bottom w:val="single" w:sz="4" w:space="0" w:color="auto"/>
              <w:right w:val="single" w:sz="4" w:space="0" w:color="auto"/>
            </w:tcBorders>
            <w:shd w:val="clear" w:color="auto" w:fill="auto"/>
            <w:noWrap/>
            <w:vAlign w:val="center"/>
            <w:hideMark/>
          </w:tcPr>
          <w:p w14:paraId="64B6187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2.895000</w:t>
            </w:r>
          </w:p>
        </w:tc>
        <w:tc>
          <w:tcPr>
            <w:tcW w:w="344" w:type="pct"/>
            <w:tcBorders>
              <w:top w:val="nil"/>
              <w:left w:val="nil"/>
              <w:bottom w:val="single" w:sz="4" w:space="0" w:color="auto"/>
              <w:right w:val="single" w:sz="4" w:space="0" w:color="auto"/>
            </w:tcBorders>
            <w:shd w:val="clear" w:color="auto" w:fill="auto"/>
            <w:noWrap/>
            <w:vAlign w:val="center"/>
            <w:hideMark/>
          </w:tcPr>
          <w:p w14:paraId="38D6B57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54.950000</w:t>
            </w:r>
          </w:p>
        </w:tc>
        <w:tc>
          <w:tcPr>
            <w:tcW w:w="358" w:type="pct"/>
            <w:tcBorders>
              <w:top w:val="nil"/>
              <w:left w:val="nil"/>
              <w:bottom w:val="single" w:sz="4" w:space="0" w:color="auto"/>
              <w:right w:val="single" w:sz="4" w:space="0" w:color="auto"/>
            </w:tcBorders>
            <w:shd w:val="clear" w:color="auto" w:fill="auto"/>
            <w:noWrap/>
            <w:vAlign w:val="center"/>
            <w:hideMark/>
          </w:tcPr>
          <w:p w14:paraId="1FFCCE0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2.895000</w:t>
            </w:r>
          </w:p>
        </w:tc>
      </w:tr>
      <w:tr w:rsidR="003A0626" w:rsidRPr="00B91524" w14:paraId="7689D0C0"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761E87E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28</w:t>
            </w:r>
          </w:p>
        </w:tc>
        <w:tc>
          <w:tcPr>
            <w:tcW w:w="343" w:type="pct"/>
            <w:tcBorders>
              <w:top w:val="nil"/>
              <w:left w:val="nil"/>
              <w:bottom w:val="single" w:sz="4" w:space="0" w:color="auto"/>
              <w:right w:val="single" w:sz="4" w:space="0" w:color="auto"/>
            </w:tcBorders>
            <w:shd w:val="clear" w:color="auto" w:fill="auto"/>
            <w:noWrap/>
            <w:vAlign w:val="center"/>
            <w:hideMark/>
          </w:tcPr>
          <w:p w14:paraId="0C505A39"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70</w:t>
            </w:r>
          </w:p>
        </w:tc>
        <w:tc>
          <w:tcPr>
            <w:tcW w:w="2679" w:type="pct"/>
            <w:tcBorders>
              <w:top w:val="nil"/>
              <w:left w:val="nil"/>
              <w:bottom w:val="single" w:sz="4" w:space="0" w:color="auto"/>
              <w:right w:val="single" w:sz="4" w:space="0" w:color="auto"/>
            </w:tcBorders>
            <w:shd w:val="clear" w:color="auto" w:fill="auto"/>
            <w:noWrap/>
            <w:vAlign w:val="center"/>
            <w:hideMark/>
          </w:tcPr>
          <w:p w14:paraId="01A20445"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3F8A6A16"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3C14AF7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55.004167</w:t>
            </w:r>
          </w:p>
        </w:tc>
        <w:tc>
          <w:tcPr>
            <w:tcW w:w="354" w:type="pct"/>
            <w:tcBorders>
              <w:top w:val="nil"/>
              <w:left w:val="nil"/>
              <w:bottom w:val="single" w:sz="4" w:space="0" w:color="auto"/>
              <w:right w:val="single" w:sz="4" w:space="0" w:color="auto"/>
            </w:tcBorders>
            <w:shd w:val="clear" w:color="auto" w:fill="auto"/>
            <w:noWrap/>
            <w:vAlign w:val="center"/>
            <w:hideMark/>
          </w:tcPr>
          <w:p w14:paraId="009CA654"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2.628333</w:t>
            </w:r>
          </w:p>
        </w:tc>
        <w:tc>
          <w:tcPr>
            <w:tcW w:w="344" w:type="pct"/>
            <w:tcBorders>
              <w:top w:val="nil"/>
              <w:left w:val="nil"/>
              <w:bottom w:val="single" w:sz="4" w:space="0" w:color="auto"/>
              <w:right w:val="single" w:sz="4" w:space="0" w:color="auto"/>
            </w:tcBorders>
            <w:shd w:val="clear" w:color="auto" w:fill="auto"/>
            <w:noWrap/>
            <w:vAlign w:val="center"/>
            <w:hideMark/>
          </w:tcPr>
          <w:p w14:paraId="14A5912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55.004167</w:t>
            </w:r>
          </w:p>
        </w:tc>
        <w:tc>
          <w:tcPr>
            <w:tcW w:w="358" w:type="pct"/>
            <w:tcBorders>
              <w:top w:val="nil"/>
              <w:left w:val="nil"/>
              <w:bottom w:val="single" w:sz="4" w:space="0" w:color="auto"/>
              <w:right w:val="single" w:sz="4" w:space="0" w:color="auto"/>
            </w:tcBorders>
            <w:shd w:val="clear" w:color="auto" w:fill="auto"/>
            <w:noWrap/>
            <w:vAlign w:val="center"/>
            <w:hideMark/>
          </w:tcPr>
          <w:p w14:paraId="2EBF28B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2.628333</w:t>
            </w:r>
          </w:p>
        </w:tc>
      </w:tr>
      <w:tr w:rsidR="003A0626" w:rsidRPr="00B91524" w14:paraId="3CEDBB8D"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201A5D4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29</w:t>
            </w:r>
          </w:p>
        </w:tc>
        <w:tc>
          <w:tcPr>
            <w:tcW w:w="343" w:type="pct"/>
            <w:tcBorders>
              <w:top w:val="nil"/>
              <w:left w:val="nil"/>
              <w:bottom w:val="single" w:sz="4" w:space="0" w:color="auto"/>
              <w:right w:val="single" w:sz="4" w:space="0" w:color="auto"/>
            </w:tcBorders>
            <w:shd w:val="clear" w:color="auto" w:fill="auto"/>
            <w:noWrap/>
            <w:vAlign w:val="center"/>
            <w:hideMark/>
          </w:tcPr>
          <w:p w14:paraId="2E7886D1"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71</w:t>
            </w:r>
          </w:p>
        </w:tc>
        <w:tc>
          <w:tcPr>
            <w:tcW w:w="2679" w:type="pct"/>
            <w:tcBorders>
              <w:top w:val="nil"/>
              <w:left w:val="nil"/>
              <w:bottom w:val="single" w:sz="4" w:space="0" w:color="auto"/>
              <w:right w:val="single" w:sz="4" w:space="0" w:color="auto"/>
            </w:tcBorders>
            <w:shd w:val="clear" w:color="auto" w:fill="auto"/>
            <w:noWrap/>
            <w:vAlign w:val="center"/>
            <w:hideMark/>
          </w:tcPr>
          <w:p w14:paraId="60D8D199"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78EDB3F8"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521E25AE"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55.127667</w:t>
            </w:r>
          </w:p>
        </w:tc>
        <w:tc>
          <w:tcPr>
            <w:tcW w:w="354" w:type="pct"/>
            <w:tcBorders>
              <w:top w:val="nil"/>
              <w:left w:val="nil"/>
              <w:bottom w:val="single" w:sz="4" w:space="0" w:color="auto"/>
              <w:right w:val="single" w:sz="4" w:space="0" w:color="auto"/>
            </w:tcBorders>
            <w:shd w:val="clear" w:color="auto" w:fill="auto"/>
            <w:noWrap/>
            <w:vAlign w:val="center"/>
            <w:hideMark/>
          </w:tcPr>
          <w:p w14:paraId="6998765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2.671667</w:t>
            </w:r>
          </w:p>
        </w:tc>
        <w:tc>
          <w:tcPr>
            <w:tcW w:w="344" w:type="pct"/>
            <w:tcBorders>
              <w:top w:val="nil"/>
              <w:left w:val="nil"/>
              <w:bottom w:val="single" w:sz="4" w:space="0" w:color="auto"/>
              <w:right w:val="single" w:sz="4" w:space="0" w:color="auto"/>
            </w:tcBorders>
            <w:shd w:val="clear" w:color="auto" w:fill="auto"/>
            <w:noWrap/>
            <w:vAlign w:val="center"/>
            <w:hideMark/>
          </w:tcPr>
          <w:p w14:paraId="1900407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55.127667</w:t>
            </w:r>
          </w:p>
        </w:tc>
        <w:tc>
          <w:tcPr>
            <w:tcW w:w="358" w:type="pct"/>
            <w:tcBorders>
              <w:top w:val="nil"/>
              <w:left w:val="nil"/>
              <w:bottom w:val="single" w:sz="4" w:space="0" w:color="auto"/>
              <w:right w:val="single" w:sz="4" w:space="0" w:color="auto"/>
            </w:tcBorders>
            <w:shd w:val="clear" w:color="auto" w:fill="auto"/>
            <w:noWrap/>
            <w:vAlign w:val="center"/>
            <w:hideMark/>
          </w:tcPr>
          <w:p w14:paraId="39B702A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2.671667</w:t>
            </w:r>
          </w:p>
        </w:tc>
      </w:tr>
      <w:tr w:rsidR="003A0626" w:rsidRPr="00B91524" w14:paraId="40526FF5"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0740E5D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30</w:t>
            </w:r>
          </w:p>
        </w:tc>
        <w:tc>
          <w:tcPr>
            <w:tcW w:w="343" w:type="pct"/>
            <w:tcBorders>
              <w:top w:val="nil"/>
              <w:left w:val="nil"/>
              <w:bottom w:val="single" w:sz="4" w:space="0" w:color="auto"/>
              <w:right w:val="single" w:sz="4" w:space="0" w:color="auto"/>
            </w:tcBorders>
            <w:shd w:val="clear" w:color="auto" w:fill="auto"/>
            <w:noWrap/>
            <w:vAlign w:val="center"/>
            <w:hideMark/>
          </w:tcPr>
          <w:p w14:paraId="5FBF40B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72</w:t>
            </w:r>
          </w:p>
        </w:tc>
        <w:tc>
          <w:tcPr>
            <w:tcW w:w="2679" w:type="pct"/>
            <w:tcBorders>
              <w:top w:val="nil"/>
              <w:left w:val="nil"/>
              <w:bottom w:val="single" w:sz="4" w:space="0" w:color="auto"/>
              <w:right w:val="single" w:sz="4" w:space="0" w:color="auto"/>
            </w:tcBorders>
            <w:shd w:val="clear" w:color="auto" w:fill="auto"/>
            <w:noWrap/>
            <w:vAlign w:val="center"/>
            <w:hideMark/>
          </w:tcPr>
          <w:p w14:paraId="4722F98F"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23CCC28F"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0150B91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55.208833</w:t>
            </w:r>
          </w:p>
        </w:tc>
        <w:tc>
          <w:tcPr>
            <w:tcW w:w="354" w:type="pct"/>
            <w:tcBorders>
              <w:top w:val="nil"/>
              <w:left w:val="nil"/>
              <w:bottom w:val="single" w:sz="4" w:space="0" w:color="auto"/>
              <w:right w:val="single" w:sz="4" w:space="0" w:color="auto"/>
            </w:tcBorders>
            <w:shd w:val="clear" w:color="auto" w:fill="auto"/>
            <w:noWrap/>
            <w:vAlign w:val="center"/>
            <w:hideMark/>
          </w:tcPr>
          <w:p w14:paraId="10D9C30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2.925000</w:t>
            </w:r>
          </w:p>
        </w:tc>
        <w:tc>
          <w:tcPr>
            <w:tcW w:w="344" w:type="pct"/>
            <w:tcBorders>
              <w:top w:val="nil"/>
              <w:left w:val="nil"/>
              <w:bottom w:val="single" w:sz="4" w:space="0" w:color="auto"/>
              <w:right w:val="single" w:sz="4" w:space="0" w:color="auto"/>
            </w:tcBorders>
            <w:shd w:val="clear" w:color="auto" w:fill="auto"/>
            <w:noWrap/>
            <w:vAlign w:val="center"/>
            <w:hideMark/>
          </w:tcPr>
          <w:p w14:paraId="0D1CDB2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55.208833</w:t>
            </w:r>
          </w:p>
        </w:tc>
        <w:tc>
          <w:tcPr>
            <w:tcW w:w="358" w:type="pct"/>
            <w:tcBorders>
              <w:top w:val="nil"/>
              <w:left w:val="nil"/>
              <w:bottom w:val="single" w:sz="4" w:space="0" w:color="auto"/>
              <w:right w:val="single" w:sz="4" w:space="0" w:color="auto"/>
            </w:tcBorders>
            <w:shd w:val="clear" w:color="auto" w:fill="auto"/>
            <w:noWrap/>
            <w:vAlign w:val="center"/>
            <w:hideMark/>
          </w:tcPr>
          <w:p w14:paraId="2710888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2.925000</w:t>
            </w:r>
          </w:p>
        </w:tc>
      </w:tr>
      <w:tr w:rsidR="003A0626" w:rsidRPr="00B91524" w14:paraId="1AA1406E"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359DE21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31</w:t>
            </w:r>
          </w:p>
        </w:tc>
        <w:tc>
          <w:tcPr>
            <w:tcW w:w="343" w:type="pct"/>
            <w:tcBorders>
              <w:top w:val="nil"/>
              <w:left w:val="nil"/>
              <w:bottom w:val="single" w:sz="4" w:space="0" w:color="auto"/>
              <w:right w:val="single" w:sz="4" w:space="0" w:color="auto"/>
            </w:tcBorders>
            <w:shd w:val="clear" w:color="auto" w:fill="auto"/>
            <w:noWrap/>
            <w:vAlign w:val="center"/>
            <w:hideMark/>
          </w:tcPr>
          <w:p w14:paraId="04F71A2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73</w:t>
            </w:r>
          </w:p>
        </w:tc>
        <w:tc>
          <w:tcPr>
            <w:tcW w:w="2679" w:type="pct"/>
            <w:tcBorders>
              <w:top w:val="nil"/>
              <w:left w:val="nil"/>
              <w:bottom w:val="single" w:sz="4" w:space="0" w:color="auto"/>
              <w:right w:val="single" w:sz="4" w:space="0" w:color="auto"/>
            </w:tcBorders>
            <w:shd w:val="clear" w:color="auto" w:fill="auto"/>
            <w:noWrap/>
            <w:vAlign w:val="center"/>
            <w:hideMark/>
          </w:tcPr>
          <w:p w14:paraId="16B2C11B"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62A6DD1B"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367D4CC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55.093667</w:t>
            </w:r>
          </w:p>
        </w:tc>
        <w:tc>
          <w:tcPr>
            <w:tcW w:w="354" w:type="pct"/>
            <w:tcBorders>
              <w:top w:val="nil"/>
              <w:left w:val="nil"/>
              <w:bottom w:val="single" w:sz="4" w:space="0" w:color="auto"/>
              <w:right w:val="single" w:sz="4" w:space="0" w:color="auto"/>
            </w:tcBorders>
            <w:shd w:val="clear" w:color="auto" w:fill="auto"/>
            <w:noWrap/>
            <w:vAlign w:val="center"/>
            <w:hideMark/>
          </w:tcPr>
          <w:p w14:paraId="7FF6F3F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2.907333</w:t>
            </w:r>
          </w:p>
        </w:tc>
        <w:tc>
          <w:tcPr>
            <w:tcW w:w="344" w:type="pct"/>
            <w:tcBorders>
              <w:top w:val="nil"/>
              <w:left w:val="nil"/>
              <w:bottom w:val="single" w:sz="4" w:space="0" w:color="auto"/>
              <w:right w:val="single" w:sz="4" w:space="0" w:color="auto"/>
            </w:tcBorders>
            <w:shd w:val="clear" w:color="auto" w:fill="auto"/>
            <w:noWrap/>
            <w:vAlign w:val="center"/>
            <w:hideMark/>
          </w:tcPr>
          <w:p w14:paraId="3FFB034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55.093667</w:t>
            </w:r>
          </w:p>
        </w:tc>
        <w:tc>
          <w:tcPr>
            <w:tcW w:w="358" w:type="pct"/>
            <w:tcBorders>
              <w:top w:val="nil"/>
              <w:left w:val="nil"/>
              <w:bottom w:val="single" w:sz="4" w:space="0" w:color="auto"/>
              <w:right w:val="single" w:sz="4" w:space="0" w:color="auto"/>
            </w:tcBorders>
            <w:shd w:val="clear" w:color="auto" w:fill="auto"/>
            <w:noWrap/>
            <w:vAlign w:val="center"/>
            <w:hideMark/>
          </w:tcPr>
          <w:p w14:paraId="1BB8C66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2.907333</w:t>
            </w:r>
          </w:p>
        </w:tc>
      </w:tr>
      <w:tr w:rsidR="003A0626" w:rsidRPr="00B91524" w14:paraId="7CEC7CA9"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373186F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32</w:t>
            </w:r>
          </w:p>
        </w:tc>
        <w:tc>
          <w:tcPr>
            <w:tcW w:w="343" w:type="pct"/>
            <w:tcBorders>
              <w:top w:val="nil"/>
              <w:left w:val="nil"/>
              <w:bottom w:val="single" w:sz="4" w:space="0" w:color="auto"/>
              <w:right w:val="single" w:sz="4" w:space="0" w:color="auto"/>
            </w:tcBorders>
            <w:shd w:val="clear" w:color="auto" w:fill="auto"/>
            <w:noWrap/>
            <w:vAlign w:val="center"/>
            <w:hideMark/>
          </w:tcPr>
          <w:p w14:paraId="021384C1"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74</w:t>
            </w:r>
          </w:p>
        </w:tc>
        <w:tc>
          <w:tcPr>
            <w:tcW w:w="2679" w:type="pct"/>
            <w:tcBorders>
              <w:top w:val="nil"/>
              <w:left w:val="nil"/>
              <w:bottom w:val="single" w:sz="4" w:space="0" w:color="auto"/>
              <w:right w:val="single" w:sz="4" w:space="0" w:color="auto"/>
            </w:tcBorders>
            <w:shd w:val="clear" w:color="auto" w:fill="auto"/>
            <w:noWrap/>
            <w:vAlign w:val="center"/>
            <w:hideMark/>
          </w:tcPr>
          <w:p w14:paraId="41D89D7B"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2E1E4876"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5ACE9A00"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54.924333</w:t>
            </w:r>
          </w:p>
        </w:tc>
        <w:tc>
          <w:tcPr>
            <w:tcW w:w="354" w:type="pct"/>
            <w:tcBorders>
              <w:top w:val="nil"/>
              <w:left w:val="nil"/>
              <w:bottom w:val="single" w:sz="4" w:space="0" w:color="auto"/>
              <w:right w:val="single" w:sz="4" w:space="0" w:color="auto"/>
            </w:tcBorders>
            <w:shd w:val="clear" w:color="auto" w:fill="auto"/>
            <w:noWrap/>
            <w:vAlign w:val="center"/>
            <w:hideMark/>
          </w:tcPr>
          <w:p w14:paraId="42F6E89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3.102333</w:t>
            </w:r>
          </w:p>
        </w:tc>
        <w:tc>
          <w:tcPr>
            <w:tcW w:w="344" w:type="pct"/>
            <w:tcBorders>
              <w:top w:val="nil"/>
              <w:left w:val="nil"/>
              <w:bottom w:val="single" w:sz="4" w:space="0" w:color="auto"/>
              <w:right w:val="single" w:sz="4" w:space="0" w:color="auto"/>
            </w:tcBorders>
            <w:shd w:val="clear" w:color="auto" w:fill="auto"/>
            <w:noWrap/>
            <w:vAlign w:val="center"/>
            <w:hideMark/>
          </w:tcPr>
          <w:p w14:paraId="1546971E"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54.924333</w:t>
            </w:r>
          </w:p>
        </w:tc>
        <w:tc>
          <w:tcPr>
            <w:tcW w:w="358" w:type="pct"/>
            <w:tcBorders>
              <w:top w:val="nil"/>
              <w:left w:val="nil"/>
              <w:bottom w:val="single" w:sz="4" w:space="0" w:color="auto"/>
              <w:right w:val="single" w:sz="4" w:space="0" w:color="auto"/>
            </w:tcBorders>
            <w:shd w:val="clear" w:color="auto" w:fill="auto"/>
            <w:noWrap/>
            <w:vAlign w:val="center"/>
            <w:hideMark/>
          </w:tcPr>
          <w:p w14:paraId="502029B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3.102333</w:t>
            </w:r>
          </w:p>
        </w:tc>
      </w:tr>
      <w:tr w:rsidR="003A0626" w:rsidRPr="00B91524" w14:paraId="645C0074"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177747EC"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33</w:t>
            </w:r>
          </w:p>
        </w:tc>
        <w:tc>
          <w:tcPr>
            <w:tcW w:w="343" w:type="pct"/>
            <w:tcBorders>
              <w:top w:val="nil"/>
              <w:left w:val="nil"/>
              <w:bottom w:val="single" w:sz="4" w:space="0" w:color="auto"/>
              <w:right w:val="single" w:sz="4" w:space="0" w:color="auto"/>
            </w:tcBorders>
            <w:shd w:val="clear" w:color="auto" w:fill="auto"/>
            <w:noWrap/>
            <w:vAlign w:val="center"/>
            <w:hideMark/>
          </w:tcPr>
          <w:p w14:paraId="560EEB3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75</w:t>
            </w:r>
          </w:p>
        </w:tc>
        <w:tc>
          <w:tcPr>
            <w:tcW w:w="2679" w:type="pct"/>
            <w:tcBorders>
              <w:top w:val="nil"/>
              <w:left w:val="nil"/>
              <w:bottom w:val="single" w:sz="4" w:space="0" w:color="auto"/>
              <w:right w:val="single" w:sz="4" w:space="0" w:color="auto"/>
            </w:tcBorders>
            <w:shd w:val="clear" w:color="auto" w:fill="auto"/>
            <w:noWrap/>
            <w:vAlign w:val="center"/>
            <w:hideMark/>
          </w:tcPr>
          <w:p w14:paraId="1561BB6D"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61600B67"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3CA2613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55.024000</w:t>
            </w:r>
          </w:p>
        </w:tc>
        <w:tc>
          <w:tcPr>
            <w:tcW w:w="354" w:type="pct"/>
            <w:tcBorders>
              <w:top w:val="nil"/>
              <w:left w:val="nil"/>
              <w:bottom w:val="single" w:sz="4" w:space="0" w:color="auto"/>
              <w:right w:val="single" w:sz="4" w:space="0" w:color="auto"/>
            </w:tcBorders>
            <w:shd w:val="clear" w:color="auto" w:fill="auto"/>
            <w:noWrap/>
            <w:vAlign w:val="center"/>
            <w:hideMark/>
          </w:tcPr>
          <w:p w14:paraId="3C78129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3.167000</w:t>
            </w:r>
          </w:p>
        </w:tc>
        <w:tc>
          <w:tcPr>
            <w:tcW w:w="344" w:type="pct"/>
            <w:tcBorders>
              <w:top w:val="nil"/>
              <w:left w:val="nil"/>
              <w:bottom w:val="single" w:sz="4" w:space="0" w:color="auto"/>
              <w:right w:val="single" w:sz="4" w:space="0" w:color="auto"/>
            </w:tcBorders>
            <w:shd w:val="clear" w:color="auto" w:fill="auto"/>
            <w:noWrap/>
            <w:vAlign w:val="center"/>
            <w:hideMark/>
          </w:tcPr>
          <w:p w14:paraId="656DC04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55.024000</w:t>
            </w:r>
          </w:p>
        </w:tc>
        <w:tc>
          <w:tcPr>
            <w:tcW w:w="358" w:type="pct"/>
            <w:tcBorders>
              <w:top w:val="nil"/>
              <w:left w:val="nil"/>
              <w:bottom w:val="single" w:sz="4" w:space="0" w:color="auto"/>
              <w:right w:val="single" w:sz="4" w:space="0" w:color="auto"/>
            </w:tcBorders>
            <w:shd w:val="clear" w:color="auto" w:fill="auto"/>
            <w:noWrap/>
            <w:vAlign w:val="center"/>
            <w:hideMark/>
          </w:tcPr>
          <w:p w14:paraId="3E768869"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3.167000</w:t>
            </w:r>
          </w:p>
        </w:tc>
      </w:tr>
      <w:tr w:rsidR="003A0626" w:rsidRPr="00B91524" w14:paraId="70005469"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388A59F4"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34</w:t>
            </w:r>
          </w:p>
        </w:tc>
        <w:tc>
          <w:tcPr>
            <w:tcW w:w="343" w:type="pct"/>
            <w:tcBorders>
              <w:top w:val="nil"/>
              <w:left w:val="nil"/>
              <w:bottom w:val="single" w:sz="4" w:space="0" w:color="auto"/>
              <w:right w:val="single" w:sz="4" w:space="0" w:color="auto"/>
            </w:tcBorders>
            <w:shd w:val="clear" w:color="auto" w:fill="auto"/>
            <w:noWrap/>
            <w:vAlign w:val="center"/>
            <w:hideMark/>
          </w:tcPr>
          <w:p w14:paraId="2EA9AA20"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76</w:t>
            </w:r>
          </w:p>
        </w:tc>
        <w:tc>
          <w:tcPr>
            <w:tcW w:w="2679" w:type="pct"/>
            <w:tcBorders>
              <w:top w:val="nil"/>
              <w:left w:val="nil"/>
              <w:bottom w:val="single" w:sz="4" w:space="0" w:color="auto"/>
              <w:right w:val="single" w:sz="4" w:space="0" w:color="auto"/>
            </w:tcBorders>
            <w:shd w:val="clear" w:color="auto" w:fill="auto"/>
            <w:noWrap/>
            <w:vAlign w:val="center"/>
            <w:hideMark/>
          </w:tcPr>
          <w:p w14:paraId="3DF06837"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4ADAD09C"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4781C73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55.108333</w:t>
            </w:r>
          </w:p>
        </w:tc>
        <w:tc>
          <w:tcPr>
            <w:tcW w:w="354" w:type="pct"/>
            <w:tcBorders>
              <w:top w:val="nil"/>
              <w:left w:val="nil"/>
              <w:bottom w:val="single" w:sz="4" w:space="0" w:color="auto"/>
              <w:right w:val="single" w:sz="4" w:space="0" w:color="auto"/>
            </w:tcBorders>
            <w:shd w:val="clear" w:color="auto" w:fill="auto"/>
            <w:noWrap/>
            <w:vAlign w:val="center"/>
            <w:hideMark/>
          </w:tcPr>
          <w:p w14:paraId="58C45AF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3.475833</w:t>
            </w:r>
          </w:p>
        </w:tc>
        <w:tc>
          <w:tcPr>
            <w:tcW w:w="344" w:type="pct"/>
            <w:tcBorders>
              <w:top w:val="nil"/>
              <w:left w:val="nil"/>
              <w:bottom w:val="single" w:sz="4" w:space="0" w:color="auto"/>
              <w:right w:val="single" w:sz="4" w:space="0" w:color="auto"/>
            </w:tcBorders>
            <w:shd w:val="clear" w:color="auto" w:fill="auto"/>
            <w:noWrap/>
            <w:vAlign w:val="center"/>
            <w:hideMark/>
          </w:tcPr>
          <w:p w14:paraId="7FE21189"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55.108333</w:t>
            </w:r>
          </w:p>
        </w:tc>
        <w:tc>
          <w:tcPr>
            <w:tcW w:w="358" w:type="pct"/>
            <w:tcBorders>
              <w:top w:val="nil"/>
              <w:left w:val="nil"/>
              <w:bottom w:val="single" w:sz="4" w:space="0" w:color="auto"/>
              <w:right w:val="single" w:sz="4" w:space="0" w:color="auto"/>
            </w:tcBorders>
            <w:shd w:val="clear" w:color="auto" w:fill="auto"/>
            <w:noWrap/>
            <w:vAlign w:val="center"/>
            <w:hideMark/>
          </w:tcPr>
          <w:p w14:paraId="1EC7BF3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3.475833</w:t>
            </w:r>
          </w:p>
        </w:tc>
      </w:tr>
      <w:tr w:rsidR="003A0626" w:rsidRPr="00B91524" w14:paraId="10C6DBBB"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57B3246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35</w:t>
            </w:r>
          </w:p>
        </w:tc>
        <w:tc>
          <w:tcPr>
            <w:tcW w:w="343" w:type="pct"/>
            <w:tcBorders>
              <w:top w:val="nil"/>
              <w:left w:val="nil"/>
              <w:bottom w:val="single" w:sz="4" w:space="0" w:color="auto"/>
              <w:right w:val="single" w:sz="4" w:space="0" w:color="auto"/>
            </w:tcBorders>
            <w:shd w:val="clear" w:color="auto" w:fill="auto"/>
            <w:noWrap/>
            <w:vAlign w:val="center"/>
            <w:hideMark/>
          </w:tcPr>
          <w:p w14:paraId="0E88386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77</w:t>
            </w:r>
          </w:p>
        </w:tc>
        <w:tc>
          <w:tcPr>
            <w:tcW w:w="2679" w:type="pct"/>
            <w:tcBorders>
              <w:top w:val="nil"/>
              <w:left w:val="nil"/>
              <w:bottom w:val="single" w:sz="4" w:space="0" w:color="auto"/>
              <w:right w:val="single" w:sz="4" w:space="0" w:color="auto"/>
            </w:tcBorders>
            <w:shd w:val="clear" w:color="auto" w:fill="auto"/>
            <w:noWrap/>
            <w:vAlign w:val="center"/>
            <w:hideMark/>
          </w:tcPr>
          <w:p w14:paraId="1AE83E48"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5AA9FD7D"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466E7A21"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55.176167</w:t>
            </w:r>
          </w:p>
        </w:tc>
        <w:tc>
          <w:tcPr>
            <w:tcW w:w="354" w:type="pct"/>
            <w:tcBorders>
              <w:top w:val="nil"/>
              <w:left w:val="nil"/>
              <w:bottom w:val="single" w:sz="4" w:space="0" w:color="auto"/>
              <w:right w:val="single" w:sz="4" w:space="0" w:color="auto"/>
            </w:tcBorders>
            <w:shd w:val="clear" w:color="auto" w:fill="auto"/>
            <w:noWrap/>
            <w:vAlign w:val="center"/>
            <w:hideMark/>
          </w:tcPr>
          <w:p w14:paraId="1750160A"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3.196000</w:t>
            </w:r>
          </w:p>
        </w:tc>
        <w:tc>
          <w:tcPr>
            <w:tcW w:w="344" w:type="pct"/>
            <w:tcBorders>
              <w:top w:val="nil"/>
              <w:left w:val="nil"/>
              <w:bottom w:val="single" w:sz="4" w:space="0" w:color="auto"/>
              <w:right w:val="single" w:sz="4" w:space="0" w:color="auto"/>
            </w:tcBorders>
            <w:shd w:val="clear" w:color="auto" w:fill="auto"/>
            <w:noWrap/>
            <w:vAlign w:val="center"/>
            <w:hideMark/>
          </w:tcPr>
          <w:p w14:paraId="766A2D2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55.176167</w:t>
            </w:r>
          </w:p>
        </w:tc>
        <w:tc>
          <w:tcPr>
            <w:tcW w:w="358" w:type="pct"/>
            <w:tcBorders>
              <w:top w:val="nil"/>
              <w:left w:val="nil"/>
              <w:bottom w:val="single" w:sz="4" w:space="0" w:color="auto"/>
              <w:right w:val="single" w:sz="4" w:space="0" w:color="auto"/>
            </w:tcBorders>
            <w:shd w:val="clear" w:color="auto" w:fill="auto"/>
            <w:noWrap/>
            <w:vAlign w:val="center"/>
            <w:hideMark/>
          </w:tcPr>
          <w:p w14:paraId="625277B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3.196000</w:t>
            </w:r>
          </w:p>
        </w:tc>
      </w:tr>
      <w:tr w:rsidR="003A0626" w:rsidRPr="00B91524" w14:paraId="197CCE6E"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37E8564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36</w:t>
            </w:r>
          </w:p>
        </w:tc>
        <w:tc>
          <w:tcPr>
            <w:tcW w:w="343" w:type="pct"/>
            <w:tcBorders>
              <w:top w:val="nil"/>
              <w:left w:val="nil"/>
              <w:bottom w:val="single" w:sz="4" w:space="0" w:color="auto"/>
              <w:right w:val="single" w:sz="4" w:space="0" w:color="auto"/>
            </w:tcBorders>
            <w:shd w:val="clear" w:color="auto" w:fill="auto"/>
            <w:noWrap/>
            <w:vAlign w:val="center"/>
            <w:hideMark/>
          </w:tcPr>
          <w:p w14:paraId="67427DE4"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78</w:t>
            </w:r>
          </w:p>
        </w:tc>
        <w:tc>
          <w:tcPr>
            <w:tcW w:w="2679" w:type="pct"/>
            <w:tcBorders>
              <w:top w:val="nil"/>
              <w:left w:val="nil"/>
              <w:bottom w:val="single" w:sz="4" w:space="0" w:color="auto"/>
              <w:right w:val="single" w:sz="4" w:space="0" w:color="auto"/>
            </w:tcBorders>
            <w:shd w:val="clear" w:color="auto" w:fill="auto"/>
            <w:noWrap/>
            <w:vAlign w:val="center"/>
            <w:hideMark/>
          </w:tcPr>
          <w:p w14:paraId="7CE47216"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62F9A329"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1DF54EC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55.306500</w:t>
            </w:r>
          </w:p>
        </w:tc>
        <w:tc>
          <w:tcPr>
            <w:tcW w:w="354" w:type="pct"/>
            <w:tcBorders>
              <w:top w:val="nil"/>
              <w:left w:val="nil"/>
              <w:bottom w:val="single" w:sz="4" w:space="0" w:color="auto"/>
              <w:right w:val="single" w:sz="4" w:space="0" w:color="auto"/>
            </w:tcBorders>
            <w:shd w:val="clear" w:color="auto" w:fill="auto"/>
            <w:noWrap/>
            <w:vAlign w:val="center"/>
            <w:hideMark/>
          </w:tcPr>
          <w:p w14:paraId="66DB53C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3.314167</w:t>
            </w:r>
          </w:p>
        </w:tc>
        <w:tc>
          <w:tcPr>
            <w:tcW w:w="344" w:type="pct"/>
            <w:tcBorders>
              <w:top w:val="nil"/>
              <w:left w:val="nil"/>
              <w:bottom w:val="single" w:sz="4" w:space="0" w:color="auto"/>
              <w:right w:val="single" w:sz="4" w:space="0" w:color="auto"/>
            </w:tcBorders>
            <w:shd w:val="clear" w:color="auto" w:fill="auto"/>
            <w:noWrap/>
            <w:vAlign w:val="center"/>
            <w:hideMark/>
          </w:tcPr>
          <w:p w14:paraId="0729B0F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55.306500</w:t>
            </w:r>
          </w:p>
        </w:tc>
        <w:tc>
          <w:tcPr>
            <w:tcW w:w="358" w:type="pct"/>
            <w:tcBorders>
              <w:top w:val="nil"/>
              <w:left w:val="nil"/>
              <w:bottom w:val="single" w:sz="4" w:space="0" w:color="auto"/>
              <w:right w:val="single" w:sz="4" w:space="0" w:color="auto"/>
            </w:tcBorders>
            <w:shd w:val="clear" w:color="auto" w:fill="auto"/>
            <w:noWrap/>
            <w:vAlign w:val="center"/>
            <w:hideMark/>
          </w:tcPr>
          <w:p w14:paraId="6576CBFE"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3.314167</w:t>
            </w:r>
          </w:p>
        </w:tc>
      </w:tr>
      <w:tr w:rsidR="003A0626" w:rsidRPr="00B91524" w14:paraId="74F8E496"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64080EC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37</w:t>
            </w:r>
          </w:p>
        </w:tc>
        <w:tc>
          <w:tcPr>
            <w:tcW w:w="343" w:type="pct"/>
            <w:tcBorders>
              <w:top w:val="nil"/>
              <w:left w:val="nil"/>
              <w:bottom w:val="single" w:sz="4" w:space="0" w:color="auto"/>
              <w:right w:val="single" w:sz="4" w:space="0" w:color="auto"/>
            </w:tcBorders>
            <w:shd w:val="clear" w:color="auto" w:fill="auto"/>
            <w:noWrap/>
            <w:vAlign w:val="center"/>
            <w:hideMark/>
          </w:tcPr>
          <w:p w14:paraId="242CBB3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79</w:t>
            </w:r>
          </w:p>
        </w:tc>
        <w:tc>
          <w:tcPr>
            <w:tcW w:w="2679" w:type="pct"/>
            <w:tcBorders>
              <w:top w:val="nil"/>
              <w:left w:val="nil"/>
              <w:bottom w:val="single" w:sz="4" w:space="0" w:color="auto"/>
              <w:right w:val="single" w:sz="4" w:space="0" w:color="auto"/>
            </w:tcBorders>
            <w:shd w:val="clear" w:color="auto" w:fill="auto"/>
            <w:noWrap/>
            <w:vAlign w:val="center"/>
            <w:hideMark/>
          </w:tcPr>
          <w:p w14:paraId="63163624"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66280022"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2799F84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55.385000</w:t>
            </w:r>
          </w:p>
        </w:tc>
        <w:tc>
          <w:tcPr>
            <w:tcW w:w="354" w:type="pct"/>
            <w:tcBorders>
              <w:top w:val="nil"/>
              <w:left w:val="nil"/>
              <w:bottom w:val="single" w:sz="4" w:space="0" w:color="auto"/>
              <w:right w:val="single" w:sz="4" w:space="0" w:color="auto"/>
            </w:tcBorders>
            <w:shd w:val="clear" w:color="auto" w:fill="auto"/>
            <w:noWrap/>
            <w:vAlign w:val="center"/>
            <w:hideMark/>
          </w:tcPr>
          <w:p w14:paraId="58D5E8FF"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3.566667</w:t>
            </w:r>
          </w:p>
        </w:tc>
        <w:tc>
          <w:tcPr>
            <w:tcW w:w="344" w:type="pct"/>
            <w:tcBorders>
              <w:top w:val="nil"/>
              <w:left w:val="nil"/>
              <w:bottom w:val="single" w:sz="4" w:space="0" w:color="auto"/>
              <w:right w:val="single" w:sz="4" w:space="0" w:color="auto"/>
            </w:tcBorders>
            <w:shd w:val="clear" w:color="auto" w:fill="auto"/>
            <w:noWrap/>
            <w:vAlign w:val="center"/>
            <w:hideMark/>
          </w:tcPr>
          <w:p w14:paraId="2158637E"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55.385000</w:t>
            </w:r>
          </w:p>
        </w:tc>
        <w:tc>
          <w:tcPr>
            <w:tcW w:w="358" w:type="pct"/>
            <w:tcBorders>
              <w:top w:val="nil"/>
              <w:left w:val="nil"/>
              <w:bottom w:val="single" w:sz="4" w:space="0" w:color="auto"/>
              <w:right w:val="single" w:sz="4" w:space="0" w:color="auto"/>
            </w:tcBorders>
            <w:shd w:val="clear" w:color="auto" w:fill="auto"/>
            <w:noWrap/>
            <w:vAlign w:val="center"/>
            <w:hideMark/>
          </w:tcPr>
          <w:p w14:paraId="56ED9EF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3.566667</w:t>
            </w:r>
          </w:p>
        </w:tc>
      </w:tr>
      <w:tr w:rsidR="003A0626" w:rsidRPr="00B91524" w14:paraId="30CC4FC4"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0B6653C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38</w:t>
            </w:r>
          </w:p>
        </w:tc>
        <w:tc>
          <w:tcPr>
            <w:tcW w:w="343" w:type="pct"/>
            <w:tcBorders>
              <w:top w:val="nil"/>
              <w:left w:val="nil"/>
              <w:bottom w:val="single" w:sz="4" w:space="0" w:color="auto"/>
              <w:right w:val="single" w:sz="4" w:space="0" w:color="auto"/>
            </w:tcBorders>
            <w:shd w:val="clear" w:color="auto" w:fill="auto"/>
            <w:noWrap/>
            <w:vAlign w:val="center"/>
            <w:hideMark/>
          </w:tcPr>
          <w:p w14:paraId="6FA94B9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80</w:t>
            </w:r>
          </w:p>
        </w:tc>
        <w:tc>
          <w:tcPr>
            <w:tcW w:w="2679" w:type="pct"/>
            <w:tcBorders>
              <w:top w:val="nil"/>
              <w:left w:val="nil"/>
              <w:bottom w:val="single" w:sz="4" w:space="0" w:color="auto"/>
              <w:right w:val="single" w:sz="4" w:space="0" w:color="auto"/>
            </w:tcBorders>
            <w:shd w:val="clear" w:color="auto" w:fill="auto"/>
            <w:noWrap/>
            <w:vAlign w:val="center"/>
            <w:hideMark/>
          </w:tcPr>
          <w:p w14:paraId="4CC6C111"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7FE98CE7"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3DCF710E"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55.376333</w:t>
            </w:r>
          </w:p>
        </w:tc>
        <w:tc>
          <w:tcPr>
            <w:tcW w:w="354" w:type="pct"/>
            <w:tcBorders>
              <w:top w:val="nil"/>
              <w:left w:val="nil"/>
              <w:bottom w:val="single" w:sz="4" w:space="0" w:color="auto"/>
              <w:right w:val="single" w:sz="4" w:space="0" w:color="auto"/>
            </w:tcBorders>
            <w:shd w:val="clear" w:color="auto" w:fill="auto"/>
            <w:noWrap/>
            <w:vAlign w:val="center"/>
            <w:hideMark/>
          </w:tcPr>
          <w:p w14:paraId="5A30F8B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3.802500</w:t>
            </w:r>
          </w:p>
        </w:tc>
        <w:tc>
          <w:tcPr>
            <w:tcW w:w="344" w:type="pct"/>
            <w:tcBorders>
              <w:top w:val="nil"/>
              <w:left w:val="nil"/>
              <w:bottom w:val="single" w:sz="4" w:space="0" w:color="auto"/>
              <w:right w:val="single" w:sz="4" w:space="0" w:color="auto"/>
            </w:tcBorders>
            <w:shd w:val="clear" w:color="auto" w:fill="auto"/>
            <w:noWrap/>
            <w:vAlign w:val="center"/>
            <w:hideMark/>
          </w:tcPr>
          <w:p w14:paraId="23C30530"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55.376333</w:t>
            </w:r>
          </w:p>
        </w:tc>
        <w:tc>
          <w:tcPr>
            <w:tcW w:w="358" w:type="pct"/>
            <w:tcBorders>
              <w:top w:val="nil"/>
              <w:left w:val="nil"/>
              <w:bottom w:val="single" w:sz="4" w:space="0" w:color="auto"/>
              <w:right w:val="single" w:sz="4" w:space="0" w:color="auto"/>
            </w:tcBorders>
            <w:shd w:val="clear" w:color="auto" w:fill="auto"/>
            <w:noWrap/>
            <w:vAlign w:val="center"/>
            <w:hideMark/>
          </w:tcPr>
          <w:p w14:paraId="0BAAC17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3.802500</w:t>
            </w:r>
          </w:p>
        </w:tc>
      </w:tr>
      <w:tr w:rsidR="003A0626" w:rsidRPr="00B91524" w14:paraId="0E2890C3"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291CD6C4"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39</w:t>
            </w:r>
          </w:p>
        </w:tc>
        <w:tc>
          <w:tcPr>
            <w:tcW w:w="343" w:type="pct"/>
            <w:tcBorders>
              <w:top w:val="nil"/>
              <w:left w:val="nil"/>
              <w:bottom w:val="single" w:sz="4" w:space="0" w:color="auto"/>
              <w:right w:val="single" w:sz="4" w:space="0" w:color="auto"/>
            </w:tcBorders>
            <w:shd w:val="clear" w:color="auto" w:fill="auto"/>
            <w:noWrap/>
            <w:vAlign w:val="center"/>
            <w:hideMark/>
          </w:tcPr>
          <w:p w14:paraId="5267D86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81</w:t>
            </w:r>
          </w:p>
        </w:tc>
        <w:tc>
          <w:tcPr>
            <w:tcW w:w="2679" w:type="pct"/>
            <w:tcBorders>
              <w:top w:val="nil"/>
              <w:left w:val="nil"/>
              <w:bottom w:val="single" w:sz="4" w:space="0" w:color="auto"/>
              <w:right w:val="single" w:sz="4" w:space="0" w:color="auto"/>
            </w:tcBorders>
            <w:shd w:val="clear" w:color="auto" w:fill="auto"/>
            <w:noWrap/>
            <w:vAlign w:val="center"/>
            <w:hideMark/>
          </w:tcPr>
          <w:p w14:paraId="74E5878F"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248E763B"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085A83E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55.482000</w:t>
            </w:r>
          </w:p>
        </w:tc>
        <w:tc>
          <w:tcPr>
            <w:tcW w:w="354" w:type="pct"/>
            <w:tcBorders>
              <w:top w:val="nil"/>
              <w:left w:val="nil"/>
              <w:bottom w:val="single" w:sz="4" w:space="0" w:color="auto"/>
              <w:right w:val="single" w:sz="4" w:space="0" w:color="auto"/>
            </w:tcBorders>
            <w:shd w:val="clear" w:color="auto" w:fill="auto"/>
            <w:noWrap/>
            <w:vAlign w:val="center"/>
            <w:hideMark/>
          </w:tcPr>
          <w:p w14:paraId="138255C3"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3.972333</w:t>
            </w:r>
          </w:p>
        </w:tc>
        <w:tc>
          <w:tcPr>
            <w:tcW w:w="344" w:type="pct"/>
            <w:tcBorders>
              <w:top w:val="nil"/>
              <w:left w:val="nil"/>
              <w:bottom w:val="single" w:sz="4" w:space="0" w:color="auto"/>
              <w:right w:val="single" w:sz="4" w:space="0" w:color="auto"/>
            </w:tcBorders>
            <w:shd w:val="clear" w:color="auto" w:fill="auto"/>
            <w:noWrap/>
            <w:vAlign w:val="center"/>
            <w:hideMark/>
          </w:tcPr>
          <w:p w14:paraId="0A20D975"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55.482000</w:t>
            </w:r>
          </w:p>
        </w:tc>
        <w:tc>
          <w:tcPr>
            <w:tcW w:w="358" w:type="pct"/>
            <w:tcBorders>
              <w:top w:val="nil"/>
              <w:left w:val="nil"/>
              <w:bottom w:val="single" w:sz="4" w:space="0" w:color="auto"/>
              <w:right w:val="single" w:sz="4" w:space="0" w:color="auto"/>
            </w:tcBorders>
            <w:shd w:val="clear" w:color="auto" w:fill="auto"/>
            <w:noWrap/>
            <w:vAlign w:val="center"/>
            <w:hideMark/>
          </w:tcPr>
          <w:p w14:paraId="29431926"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3.972333</w:t>
            </w:r>
          </w:p>
        </w:tc>
      </w:tr>
      <w:tr w:rsidR="003A0626" w:rsidRPr="00B91524" w14:paraId="136ED259" w14:textId="77777777" w:rsidTr="00843131">
        <w:trPr>
          <w:trHeight w:val="251"/>
        </w:trPr>
        <w:tc>
          <w:tcPr>
            <w:tcW w:w="294" w:type="pct"/>
            <w:tcBorders>
              <w:top w:val="nil"/>
              <w:left w:val="single" w:sz="4" w:space="0" w:color="auto"/>
              <w:bottom w:val="single" w:sz="4" w:space="0" w:color="auto"/>
              <w:right w:val="single" w:sz="4" w:space="0" w:color="auto"/>
            </w:tcBorders>
            <w:shd w:val="clear" w:color="auto" w:fill="auto"/>
            <w:noWrap/>
            <w:vAlign w:val="center"/>
            <w:hideMark/>
          </w:tcPr>
          <w:p w14:paraId="45464708"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40</w:t>
            </w:r>
          </w:p>
        </w:tc>
        <w:tc>
          <w:tcPr>
            <w:tcW w:w="343" w:type="pct"/>
            <w:tcBorders>
              <w:top w:val="nil"/>
              <w:left w:val="nil"/>
              <w:bottom w:val="single" w:sz="4" w:space="0" w:color="auto"/>
              <w:right w:val="single" w:sz="4" w:space="0" w:color="auto"/>
            </w:tcBorders>
            <w:shd w:val="clear" w:color="auto" w:fill="auto"/>
            <w:noWrap/>
            <w:vAlign w:val="center"/>
            <w:hideMark/>
          </w:tcPr>
          <w:p w14:paraId="341FCE9B"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82</w:t>
            </w:r>
          </w:p>
        </w:tc>
        <w:tc>
          <w:tcPr>
            <w:tcW w:w="2679" w:type="pct"/>
            <w:tcBorders>
              <w:top w:val="nil"/>
              <w:left w:val="nil"/>
              <w:bottom w:val="single" w:sz="4" w:space="0" w:color="auto"/>
              <w:right w:val="single" w:sz="4" w:space="0" w:color="auto"/>
            </w:tcBorders>
            <w:shd w:val="clear" w:color="auto" w:fill="auto"/>
            <w:noWrap/>
            <w:vAlign w:val="center"/>
            <w:hideMark/>
          </w:tcPr>
          <w:p w14:paraId="4345DBD6"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Unchanged</w:t>
            </w:r>
          </w:p>
        </w:tc>
        <w:tc>
          <w:tcPr>
            <w:tcW w:w="293" w:type="pct"/>
            <w:tcBorders>
              <w:top w:val="nil"/>
              <w:left w:val="nil"/>
              <w:bottom w:val="single" w:sz="4" w:space="0" w:color="auto"/>
              <w:right w:val="single" w:sz="4" w:space="0" w:color="auto"/>
            </w:tcBorders>
            <w:shd w:val="clear" w:color="auto" w:fill="auto"/>
            <w:noWrap/>
            <w:vAlign w:val="center"/>
            <w:hideMark/>
          </w:tcPr>
          <w:p w14:paraId="6A0F7E2D" w14:textId="77777777" w:rsidR="003A0626" w:rsidRPr="00B91524" w:rsidRDefault="003A0626" w:rsidP="003A0626">
            <w:pPr>
              <w:spacing w:after="0"/>
              <w:rPr>
                <w:rFonts w:ascii="Segoe UI" w:hAnsi="Segoe UI" w:cs="Segoe UI"/>
                <w:color w:val="000000"/>
                <w:sz w:val="16"/>
                <w:szCs w:val="16"/>
                <w:lang w:eastAsia="en-GB"/>
              </w:rPr>
            </w:pPr>
            <w:r w:rsidRPr="00B91524">
              <w:rPr>
                <w:rFonts w:ascii="Segoe UI" w:hAnsi="Segoe UI" w:cs="Segoe UI"/>
                <w:color w:val="000000"/>
                <w:sz w:val="16"/>
                <w:szCs w:val="16"/>
                <w:lang w:eastAsia="en-GB"/>
              </w:rPr>
              <w:t>SRI</w:t>
            </w:r>
          </w:p>
        </w:tc>
        <w:tc>
          <w:tcPr>
            <w:tcW w:w="337" w:type="pct"/>
            <w:tcBorders>
              <w:top w:val="nil"/>
              <w:left w:val="nil"/>
              <w:bottom w:val="single" w:sz="4" w:space="0" w:color="auto"/>
              <w:right w:val="single" w:sz="4" w:space="0" w:color="auto"/>
            </w:tcBorders>
            <w:shd w:val="clear" w:color="auto" w:fill="auto"/>
            <w:noWrap/>
            <w:vAlign w:val="center"/>
            <w:hideMark/>
          </w:tcPr>
          <w:p w14:paraId="6F687197"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55.459333</w:t>
            </w:r>
          </w:p>
        </w:tc>
        <w:tc>
          <w:tcPr>
            <w:tcW w:w="354" w:type="pct"/>
            <w:tcBorders>
              <w:top w:val="nil"/>
              <w:left w:val="nil"/>
              <w:bottom w:val="single" w:sz="4" w:space="0" w:color="auto"/>
              <w:right w:val="single" w:sz="4" w:space="0" w:color="auto"/>
            </w:tcBorders>
            <w:shd w:val="clear" w:color="auto" w:fill="auto"/>
            <w:noWrap/>
            <w:vAlign w:val="center"/>
            <w:hideMark/>
          </w:tcPr>
          <w:p w14:paraId="14DAA79E"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4.143667</w:t>
            </w:r>
          </w:p>
        </w:tc>
        <w:tc>
          <w:tcPr>
            <w:tcW w:w="344" w:type="pct"/>
            <w:tcBorders>
              <w:top w:val="nil"/>
              <w:left w:val="nil"/>
              <w:bottom w:val="single" w:sz="4" w:space="0" w:color="auto"/>
              <w:right w:val="single" w:sz="4" w:space="0" w:color="auto"/>
            </w:tcBorders>
            <w:shd w:val="clear" w:color="auto" w:fill="auto"/>
            <w:noWrap/>
            <w:vAlign w:val="center"/>
            <w:hideMark/>
          </w:tcPr>
          <w:p w14:paraId="235D1252"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55.459333</w:t>
            </w:r>
          </w:p>
        </w:tc>
        <w:tc>
          <w:tcPr>
            <w:tcW w:w="358" w:type="pct"/>
            <w:tcBorders>
              <w:top w:val="nil"/>
              <w:left w:val="nil"/>
              <w:bottom w:val="single" w:sz="4" w:space="0" w:color="auto"/>
              <w:right w:val="single" w:sz="4" w:space="0" w:color="auto"/>
            </w:tcBorders>
            <w:shd w:val="clear" w:color="auto" w:fill="auto"/>
            <w:noWrap/>
            <w:vAlign w:val="center"/>
            <w:hideMark/>
          </w:tcPr>
          <w:p w14:paraId="449496ED" w14:textId="77777777" w:rsidR="003A0626" w:rsidRPr="00B91524" w:rsidRDefault="003A0626" w:rsidP="003A0626">
            <w:pPr>
              <w:spacing w:after="0"/>
              <w:jc w:val="center"/>
              <w:rPr>
                <w:rFonts w:ascii="Segoe UI" w:hAnsi="Segoe UI" w:cs="Segoe UI"/>
                <w:color w:val="000000"/>
                <w:sz w:val="16"/>
                <w:szCs w:val="16"/>
                <w:lang w:eastAsia="en-GB"/>
              </w:rPr>
            </w:pPr>
            <w:r w:rsidRPr="00B91524">
              <w:rPr>
                <w:rFonts w:ascii="Segoe UI" w:hAnsi="Segoe UI" w:cs="Segoe UI"/>
                <w:color w:val="000000"/>
                <w:sz w:val="16"/>
                <w:szCs w:val="16"/>
                <w:lang w:eastAsia="en-GB"/>
              </w:rPr>
              <w:t>4.143667</w:t>
            </w:r>
          </w:p>
        </w:tc>
      </w:tr>
    </w:tbl>
    <w:p w14:paraId="1C25E4C6" w14:textId="77777777" w:rsidR="007F1C57" w:rsidRPr="00B91524" w:rsidRDefault="007F1C57" w:rsidP="007F1C57">
      <w:pPr>
        <w:rPr>
          <w:szCs w:val="16"/>
        </w:rPr>
      </w:pPr>
    </w:p>
    <w:p w14:paraId="76C573A8" w14:textId="5BA6D795" w:rsidR="007F1C57" w:rsidRPr="00B91524" w:rsidRDefault="007F1C57" w:rsidP="007F1C57">
      <w:pPr>
        <w:rPr>
          <w:szCs w:val="16"/>
        </w:rPr>
        <w:sectPr w:rsidR="007F1C57" w:rsidRPr="00B91524" w:rsidSect="00843131">
          <w:headerReference w:type="default" r:id="rId50"/>
          <w:pgSz w:w="16848" w:h="11916" w:orient="landscape"/>
          <w:pgMar w:top="1080" w:right="1440" w:bottom="1080" w:left="1440" w:header="850" w:footer="708" w:gutter="0"/>
          <w:cols w:space="720"/>
          <w:docGrid w:linePitch="360"/>
        </w:sectPr>
      </w:pPr>
    </w:p>
    <w:p w14:paraId="20240CBA" w14:textId="6D7B3C9F" w:rsidR="00705865" w:rsidRPr="00B91524" w:rsidRDefault="00705865" w:rsidP="00843131">
      <w:pPr>
        <w:pStyle w:val="Appendix"/>
        <w:rPr>
          <w:lang w:eastAsia="en-GB"/>
        </w:rPr>
      </w:pPr>
      <w:bookmarkStart w:id="154" w:name="_Toc74670356"/>
      <w:r w:rsidRPr="00B91524">
        <w:lastRenderedPageBreak/>
        <w:t>Predictive</w:t>
      </w:r>
      <w:r w:rsidRPr="00B91524">
        <w:rPr>
          <w:lang w:eastAsia="en-GB"/>
        </w:rPr>
        <w:t xml:space="preserve"> </w:t>
      </w:r>
      <w:r w:rsidR="002E2EC4" w:rsidRPr="00B91524">
        <w:rPr>
          <w:lang w:eastAsia="en-GB"/>
        </w:rPr>
        <w:t xml:space="preserve">HABITAT </w:t>
      </w:r>
      <w:r w:rsidRPr="00B91524">
        <w:rPr>
          <w:lang w:eastAsia="en-GB"/>
        </w:rPr>
        <w:t>modelling report</w:t>
      </w:r>
      <w:bookmarkEnd w:id="154"/>
      <w:r w:rsidRPr="00B91524">
        <w:rPr>
          <w:lang w:eastAsia="en-GB"/>
        </w:rPr>
        <w:t xml:space="preserve"> </w:t>
      </w:r>
    </w:p>
    <w:p w14:paraId="137BB4D7" w14:textId="1F6DFA74" w:rsidR="00705865" w:rsidRPr="00B91524" w:rsidRDefault="00705865" w:rsidP="00843131">
      <w:pPr>
        <w:pStyle w:val="appendixbodytextnumbering"/>
        <w:numPr>
          <w:ilvl w:val="0"/>
          <w:numId w:val="0"/>
        </w:numPr>
      </w:pPr>
      <w:r w:rsidRPr="00B91524">
        <w:rPr>
          <w:lang w:val="en-GB"/>
        </w:rPr>
        <w:t>Provided under separate cover</w:t>
      </w:r>
      <w:r w:rsidR="00E01828" w:rsidRPr="00B91524">
        <w:rPr>
          <w:lang w:val="en-GB"/>
        </w:rPr>
        <w:t>.</w:t>
      </w:r>
      <w:r w:rsidRPr="00B91524">
        <w:rPr>
          <w:lang w:val="en-GB"/>
        </w:rPr>
        <w:t xml:space="preserve"> </w:t>
      </w:r>
    </w:p>
    <w:p w14:paraId="3AD94550" w14:textId="67C38453" w:rsidR="001051EF" w:rsidRPr="00B91524" w:rsidRDefault="001051EF">
      <w:pPr>
        <w:pStyle w:val="Caption"/>
        <w:sectPr w:rsidR="001051EF" w:rsidRPr="00B91524" w:rsidSect="00843131">
          <w:pgSz w:w="11916" w:h="16848"/>
          <w:pgMar w:top="1440" w:right="1080" w:bottom="1440" w:left="1080" w:header="850" w:footer="708" w:gutter="0"/>
          <w:cols w:space="720"/>
          <w:docGrid w:linePitch="360"/>
        </w:sectPr>
      </w:pPr>
    </w:p>
    <w:p w14:paraId="002F98B5" w14:textId="77777777" w:rsidR="00244081" w:rsidRPr="00B91524" w:rsidRDefault="003E5F0B" w:rsidP="0009712F">
      <w:pPr>
        <w:pStyle w:val="Caption"/>
        <w:rPr>
          <w:rFonts w:eastAsia="Calibri" w:cs="Arial"/>
          <w:noProof/>
          <w:color w:val="7F7F7F"/>
          <w:sz w:val="16"/>
          <w:szCs w:val="16"/>
          <w:lang w:eastAsia="en-GB"/>
        </w:rPr>
      </w:pPr>
      <w:r w:rsidRPr="00B91524">
        <w:rPr>
          <w:noProof/>
        </w:rPr>
        <w:lastRenderedPageBreak/>
        <mc:AlternateContent>
          <mc:Choice Requires="wpg">
            <w:drawing>
              <wp:anchor distT="0" distB="0" distL="114300" distR="114300" simplePos="0" relativeHeight="251674111" behindDoc="0" locked="0" layoutInCell="1" allowOverlap="1" wp14:anchorId="27F868EB" wp14:editId="7FDDC979">
                <wp:simplePos x="0" y="0"/>
                <wp:positionH relativeFrom="column">
                  <wp:posOffset>-4451350</wp:posOffset>
                </wp:positionH>
                <wp:positionV relativeFrom="paragraph">
                  <wp:posOffset>-1776730</wp:posOffset>
                </wp:positionV>
                <wp:extent cx="13602335" cy="13954125"/>
                <wp:effectExtent l="0" t="492760" r="545465" b="1640840"/>
                <wp:wrapNone/>
                <wp:docPr id="18"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602335" cy="13954125"/>
                          <a:chOff x="-5930" y="-1069"/>
                          <a:chExt cx="21421" cy="21975"/>
                        </a:xfrm>
                      </wpg:grpSpPr>
                      <wps:wsp>
                        <wps:cNvPr id="19" name="AutoShape 12"/>
                        <wps:cNvSpPr>
                          <a:spLocks noChangeArrowheads="1"/>
                        </wps:cNvSpPr>
                        <wps:spPr bwMode="auto">
                          <a:xfrm rot="7952886">
                            <a:off x="8462" y="-2812"/>
                            <a:ext cx="4001" cy="7799"/>
                          </a:xfrm>
                          <a:prstGeom prst="moon">
                            <a:avLst>
                              <a:gd name="adj" fmla="val 50000"/>
                            </a:avLst>
                          </a:prstGeom>
                          <a:solidFill>
                            <a:schemeClr val="accent2">
                              <a:lumMod val="100000"/>
                              <a:lumOff val="0"/>
                            </a:scheme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 name="AutoShape 16"/>
                        <wps:cNvSpPr>
                          <a:spLocks noChangeArrowheads="1"/>
                        </wps:cNvSpPr>
                        <wps:spPr bwMode="auto">
                          <a:xfrm rot="-1564936">
                            <a:off x="314" y="-1069"/>
                            <a:ext cx="6291" cy="21421"/>
                          </a:xfrm>
                          <a:prstGeom prst="moon">
                            <a:avLst>
                              <a:gd name="adj" fmla="val 50000"/>
                            </a:avLst>
                          </a:prstGeom>
                          <a:solidFill>
                            <a:schemeClr val="accent3">
                              <a:lumMod val="100000"/>
                              <a:lumOff val="0"/>
                            </a:scheme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1" name="AutoShape 17"/>
                        <wps:cNvSpPr>
                          <a:spLocks noChangeArrowheads="1"/>
                        </wps:cNvSpPr>
                        <wps:spPr bwMode="auto">
                          <a:xfrm rot="-24703715">
                            <a:off x="-307" y="5107"/>
                            <a:ext cx="10176" cy="21421"/>
                          </a:xfrm>
                          <a:prstGeom prst="moon">
                            <a:avLst>
                              <a:gd name="adj" fmla="val 65435"/>
                            </a:avLst>
                          </a:prstGeom>
                          <a:solidFill>
                            <a:schemeClr val="accent1">
                              <a:lumMod val="100000"/>
                              <a:lumOff val="0"/>
                            </a:scheme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w:pict>
              <v:group w14:anchorId="735B3462" id="Group 19" o:spid="_x0000_s1026" style="position:absolute;margin-left:-350.5pt;margin-top:-139.9pt;width:1071.05pt;height:1098.75pt;z-index:251674111" coordorigin="-5930,-1069" coordsize="21421,219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">
                <v:shape id="AutoShape 12" o:spid="_x0000_s1027" type="#_x0000_t184" style="position:absolute;left:8462;top:-2812;width:4001;height:7799;rotation:8686672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" fillcolor="#3ed8bd [3205]" stroked="f"/>
                <v:shape id="AutoShape 16" o:spid="_x0000_s1028" type="#_x0000_t184" style="position:absolute;left:314;top:-1069;width:6291;height:21421;rotation:-1709327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" fillcolor="#fdc300 [3206]" stroked="f"/>
                <v:shape id="AutoShape 17" o:spid="_x0000_s1029" type="#_x0000_t184" style="position:absolute;left:-307;top:5107;width:10176;height:21421;rotation:-339008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" adj="14134" fillcolor="#1d4477 [3204]" stroked="f"/>
              </v:group>
            </w:pict>
          </mc:Fallback>
        </mc:AlternateContent>
      </w:r>
    </w:p>
    <w:p w14:paraId="3D020503" w14:textId="77777777" w:rsidR="00244081" w:rsidRPr="00B91524" w:rsidRDefault="00244081" w:rsidP="00AF4FC8">
      <w:pPr>
        <w:rPr>
          <w:rFonts w:eastAsia="Calibri" w:cs="Arial"/>
          <w:noProof/>
          <w:color w:val="7F7F7F"/>
          <w:sz w:val="16"/>
          <w:szCs w:val="16"/>
          <w:lang w:eastAsia="en-GB"/>
        </w:rPr>
      </w:pPr>
    </w:p>
    <w:p w14:paraId="118712D8" w14:textId="77777777" w:rsidR="00244081" w:rsidRPr="00B91524" w:rsidRDefault="00244081" w:rsidP="00AF4FC8">
      <w:pPr>
        <w:rPr>
          <w:rFonts w:eastAsia="Calibri" w:cs="Arial"/>
          <w:noProof/>
          <w:color w:val="7F7F7F"/>
          <w:sz w:val="16"/>
          <w:szCs w:val="16"/>
          <w:lang w:eastAsia="en-GB"/>
        </w:rPr>
      </w:pPr>
    </w:p>
    <w:p w14:paraId="05EAA6AA" w14:textId="77777777" w:rsidR="00244081" w:rsidRPr="00B91524" w:rsidRDefault="00244081" w:rsidP="00AF4FC8">
      <w:pPr>
        <w:rPr>
          <w:rFonts w:eastAsia="Calibri" w:cs="Arial"/>
          <w:noProof/>
          <w:color w:val="7F7F7F"/>
          <w:sz w:val="16"/>
          <w:szCs w:val="16"/>
          <w:lang w:eastAsia="en-GB"/>
        </w:rPr>
      </w:pPr>
    </w:p>
    <w:p w14:paraId="16087218" w14:textId="77777777" w:rsidR="00244081" w:rsidRPr="00B91524" w:rsidRDefault="00244081" w:rsidP="00AF4FC8">
      <w:pPr>
        <w:rPr>
          <w:rFonts w:eastAsia="Calibri" w:cs="Arial"/>
          <w:noProof/>
          <w:color w:val="7F7F7F"/>
          <w:sz w:val="16"/>
          <w:szCs w:val="16"/>
          <w:lang w:eastAsia="en-GB"/>
        </w:rPr>
      </w:pPr>
    </w:p>
    <w:p w14:paraId="5D0DCE3F" w14:textId="77777777" w:rsidR="00244081" w:rsidRPr="00B91524" w:rsidRDefault="00244081" w:rsidP="00AF4FC8">
      <w:pPr>
        <w:rPr>
          <w:rFonts w:eastAsia="Calibri" w:cs="Arial"/>
          <w:noProof/>
          <w:color w:val="7F7F7F"/>
          <w:sz w:val="16"/>
          <w:szCs w:val="16"/>
          <w:lang w:eastAsia="en-GB"/>
        </w:rPr>
      </w:pPr>
    </w:p>
    <w:p w14:paraId="75AE2452" w14:textId="77777777" w:rsidR="00244081" w:rsidRPr="00B91524" w:rsidRDefault="00244081" w:rsidP="00AF4FC8">
      <w:pPr>
        <w:rPr>
          <w:rFonts w:eastAsia="Calibri" w:cs="Arial"/>
          <w:noProof/>
          <w:color w:val="7F7F7F"/>
          <w:sz w:val="16"/>
          <w:szCs w:val="16"/>
          <w:lang w:eastAsia="en-GB"/>
        </w:rPr>
      </w:pPr>
    </w:p>
    <w:p w14:paraId="34B44B09" w14:textId="77777777" w:rsidR="00244081" w:rsidRPr="00B91524" w:rsidRDefault="00244081" w:rsidP="00AF4FC8">
      <w:pPr>
        <w:rPr>
          <w:rFonts w:eastAsia="Calibri" w:cs="Arial"/>
          <w:noProof/>
          <w:color w:val="7F7F7F"/>
          <w:sz w:val="16"/>
          <w:szCs w:val="16"/>
          <w:lang w:eastAsia="en-GB"/>
        </w:rPr>
      </w:pPr>
    </w:p>
    <w:p w14:paraId="03AF6BD2" w14:textId="77777777" w:rsidR="00244081" w:rsidRPr="00B91524" w:rsidRDefault="00244081" w:rsidP="00AF4FC8">
      <w:pPr>
        <w:rPr>
          <w:rFonts w:eastAsia="Calibri" w:cs="Arial"/>
          <w:noProof/>
          <w:color w:val="7F7F7F"/>
          <w:sz w:val="16"/>
          <w:szCs w:val="16"/>
          <w:lang w:eastAsia="en-GB"/>
        </w:rPr>
      </w:pPr>
    </w:p>
    <w:p w14:paraId="7BC7F8B4" w14:textId="77777777" w:rsidR="00244081" w:rsidRPr="00B91524" w:rsidRDefault="00244081" w:rsidP="00AF4FC8">
      <w:pPr>
        <w:rPr>
          <w:rFonts w:eastAsia="Calibri" w:cs="Arial"/>
          <w:noProof/>
          <w:color w:val="7F7F7F"/>
          <w:sz w:val="16"/>
          <w:szCs w:val="16"/>
          <w:lang w:eastAsia="en-GB"/>
        </w:rPr>
      </w:pPr>
    </w:p>
    <w:p w14:paraId="419D120B" w14:textId="77777777" w:rsidR="00244081" w:rsidRPr="00B91524" w:rsidRDefault="00244081" w:rsidP="00AF4FC8">
      <w:pPr>
        <w:rPr>
          <w:rFonts w:eastAsia="Calibri" w:cs="Arial"/>
          <w:noProof/>
          <w:color w:val="7F7F7F"/>
          <w:sz w:val="16"/>
          <w:szCs w:val="16"/>
          <w:lang w:eastAsia="en-GB"/>
        </w:rPr>
      </w:pPr>
    </w:p>
    <w:p w14:paraId="41CA0531" w14:textId="77777777" w:rsidR="00244081" w:rsidRPr="00B91524" w:rsidRDefault="00244081" w:rsidP="00AF4FC8">
      <w:pPr>
        <w:rPr>
          <w:rFonts w:eastAsia="Calibri" w:cs="Arial"/>
          <w:noProof/>
          <w:color w:val="7F7F7F"/>
          <w:sz w:val="16"/>
          <w:szCs w:val="16"/>
          <w:lang w:eastAsia="en-GB"/>
        </w:rPr>
      </w:pPr>
    </w:p>
    <w:p w14:paraId="7E35F06E" w14:textId="77777777" w:rsidR="00244081" w:rsidRPr="00B91524" w:rsidRDefault="00244081" w:rsidP="00AF4FC8">
      <w:pPr>
        <w:rPr>
          <w:rFonts w:eastAsia="Calibri" w:cs="Arial"/>
          <w:noProof/>
          <w:color w:val="7F7F7F"/>
          <w:sz w:val="16"/>
          <w:szCs w:val="16"/>
          <w:lang w:eastAsia="en-GB"/>
        </w:rPr>
      </w:pPr>
    </w:p>
    <w:p w14:paraId="76559EAC" w14:textId="192899CC" w:rsidR="008C2557" w:rsidRPr="008C2557" w:rsidRDefault="003E5F0B" w:rsidP="00AF4FC8">
      <w:r w:rsidRPr="00B91524">
        <w:rPr>
          <w:noProof/>
        </w:rPr>
        <mc:AlternateContent>
          <mc:Choice Requires="wps">
            <w:drawing>
              <wp:anchor distT="45720" distB="45720" distL="114300" distR="114300" simplePos="0" relativeHeight="251670015" behindDoc="0" locked="0" layoutInCell="1" allowOverlap="1" wp14:anchorId="7A871972" wp14:editId="2BE8193C">
                <wp:simplePos x="0" y="0"/>
                <wp:positionH relativeFrom="column">
                  <wp:posOffset>3638550</wp:posOffset>
                </wp:positionH>
                <wp:positionV relativeFrom="paragraph">
                  <wp:posOffset>4674870</wp:posOffset>
                </wp:positionV>
                <wp:extent cx="2951480" cy="863600"/>
                <wp:effectExtent l="0" t="0" r="1270" b="0"/>
                <wp:wrapSquare wrapText="bothSides"/>
                <wp:docPr id="15"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1480" cy="863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5C9D7E" w14:textId="77777777" w:rsidR="002905DA" w:rsidRPr="00BD3F39" w:rsidRDefault="002905DA" w:rsidP="00DF1EED">
                            <w:pPr>
                              <w:jc w:val="right"/>
                              <w:rPr>
                                <w:rFonts w:eastAsia="Calibri" w:cs="Arial"/>
                                <w:b/>
                                <w:bCs/>
                                <w:noProof/>
                                <w:color w:val="1D4477" w:themeColor="accent1"/>
                                <w:sz w:val="16"/>
                                <w:szCs w:val="16"/>
                                <w:lang w:eastAsia="en-GB"/>
                              </w:rPr>
                            </w:pPr>
                            <w:r w:rsidRPr="00BD3F39">
                              <w:rPr>
                                <w:rFonts w:eastAsia="Calibri" w:cs="Arial"/>
                                <w:b/>
                                <w:bCs/>
                                <w:noProof/>
                                <w:color w:val="1D4477" w:themeColor="accent1"/>
                                <w:sz w:val="16"/>
                                <w:szCs w:val="16"/>
                                <w:lang w:eastAsia="en-GB"/>
                              </w:rPr>
                              <w:t>Registered office</w:t>
                            </w:r>
                          </w:p>
                          <w:p w14:paraId="2012EDE6" w14:textId="77777777" w:rsidR="002905DA" w:rsidRPr="00BD3F39" w:rsidRDefault="002905DA" w:rsidP="00DF1EED">
                            <w:pPr>
                              <w:spacing w:after="240"/>
                              <w:ind w:left="3"/>
                              <w:jc w:val="right"/>
                              <w:rPr>
                                <w:rFonts w:eastAsia="Calibri" w:cs="Arial"/>
                                <w:noProof/>
                                <w:color w:val="1D4477" w:themeColor="accent1"/>
                                <w:sz w:val="16"/>
                                <w:szCs w:val="16"/>
                                <w:u w:val="single"/>
                              </w:rPr>
                            </w:pPr>
                            <w:r w:rsidRPr="00BD3F39">
                              <w:rPr>
                                <w:rFonts w:eastAsia="Calibri" w:cs="Arial"/>
                                <w:noProof/>
                                <w:color w:val="1D4477" w:themeColor="accent1"/>
                                <w:sz w:val="16"/>
                                <w:szCs w:val="16"/>
                                <w:lang w:eastAsia="en-GB"/>
                              </w:rPr>
                              <w:t>Windmill Hill Business Park</w:t>
                            </w:r>
                            <w:r w:rsidRPr="00BD3F39">
                              <w:rPr>
                                <w:rFonts w:eastAsia="Calibri" w:cs="Arial"/>
                                <w:noProof/>
                                <w:color w:val="1D4477" w:themeColor="accent1"/>
                                <w:sz w:val="16"/>
                                <w:szCs w:val="16"/>
                                <w:lang w:eastAsia="en-GB"/>
                              </w:rPr>
                              <w:br/>
                              <w:t xml:space="preserve">Whitehill Way, Swindon, Wiltshire, SN5 6PB </w:t>
                            </w:r>
                          </w:p>
                          <w:p w14:paraId="113D659A" w14:textId="77777777" w:rsidR="002905DA" w:rsidRPr="00BD3F39" w:rsidRDefault="002905DA" w:rsidP="00DF1EED">
                            <w:pPr>
                              <w:jc w:val="right"/>
                              <w:rPr>
                                <w:color w:val="1D4477" w:themeColor="accent1"/>
                              </w:rPr>
                            </w:pPr>
                            <w:r>
                              <w:rPr>
                                <w:rFonts w:eastAsia="Calibri" w:cs="Arial"/>
                                <w:noProof/>
                                <w:color w:val="1D4477" w:themeColor="accent1"/>
                                <w:sz w:val="16"/>
                                <w:szCs w:val="16"/>
                                <w:lang w:eastAsia="en-GB"/>
                              </w:rPr>
                              <w:t xml:space="preserve">Registered in </w:t>
                            </w:r>
                            <w:r w:rsidRPr="00BD3F39">
                              <w:rPr>
                                <w:rFonts w:eastAsia="Calibri" w:cs="Arial"/>
                                <w:noProof/>
                                <w:color w:val="1D4477" w:themeColor="accent1"/>
                                <w:sz w:val="16"/>
                                <w:szCs w:val="16"/>
                                <w:lang w:eastAsia="en-GB"/>
                              </w:rPr>
                              <w:t>England &amp; Wales, Company Number 07791964</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7A871972" id="Text Box 14" o:spid="_x0000_s1028" type="#_x0000_t202" style="position:absolute;margin-left:286.5pt;margin-top:368.1pt;width:232.4pt;height:68pt;z-index:251670015;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" filled="f" stroked="f">
                <v:textbox style="mso-fit-shape-to-text:t">
                  <w:txbxContent>
                    <w:p w14:paraId="745C9D7E" w14:textId="77777777" w:rsidR="002905DA" w:rsidRPr="00BD3F39" w:rsidRDefault="002905DA" w:rsidP="00DF1EED">
                      <w:pPr>
                        <w:jc w:val="right"/>
                        <w:rPr>
                          <w:rFonts w:eastAsia="Calibri" w:cs="Arial"/>
                          <w:b/>
                          <w:bCs/>
                          <w:noProof/>
                          <w:color w:val="1D4477" w:themeColor="accent1"/>
                          <w:sz w:val="16"/>
                          <w:szCs w:val="16"/>
                          <w:lang w:eastAsia="en-GB"/>
                        </w:rPr>
                      </w:pPr>
                      <w:r w:rsidRPr="00BD3F39">
                        <w:rPr>
                          <w:rFonts w:eastAsia="Calibri" w:cs="Arial"/>
                          <w:b/>
                          <w:bCs/>
                          <w:noProof/>
                          <w:color w:val="1D4477" w:themeColor="accent1"/>
                          <w:sz w:val="16"/>
                          <w:szCs w:val="16"/>
                          <w:lang w:eastAsia="en-GB"/>
                        </w:rPr>
                        <w:t>Registered office</w:t>
                      </w:r>
                    </w:p>
                    <w:p w14:paraId="2012EDE6" w14:textId="77777777" w:rsidR="002905DA" w:rsidRPr="00BD3F39" w:rsidRDefault="002905DA" w:rsidP="00DF1EED">
                      <w:pPr>
                        <w:spacing w:after="240"/>
                        <w:ind w:left="3"/>
                        <w:jc w:val="right"/>
                        <w:rPr>
                          <w:rFonts w:eastAsia="Calibri" w:cs="Arial"/>
                          <w:noProof/>
                          <w:color w:val="1D4477" w:themeColor="accent1"/>
                          <w:sz w:val="16"/>
                          <w:szCs w:val="16"/>
                          <w:u w:val="single"/>
                        </w:rPr>
                      </w:pPr>
                      <w:r w:rsidRPr="00BD3F39">
                        <w:rPr>
                          <w:rFonts w:eastAsia="Calibri" w:cs="Arial"/>
                          <w:noProof/>
                          <w:color w:val="1D4477" w:themeColor="accent1"/>
                          <w:sz w:val="16"/>
                          <w:szCs w:val="16"/>
                          <w:lang w:eastAsia="en-GB"/>
                        </w:rPr>
                        <w:t>Windmill Hill Business Park</w:t>
                      </w:r>
                      <w:r w:rsidRPr="00BD3F39">
                        <w:rPr>
                          <w:rFonts w:eastAsia="Calibri" w:cs="Arial"/>
                          <w:noProof/>
                          <w:color w:val="1D4477" w:themeColor="accent1"/>
                          <w:sz w:val="16"/>
                          <w:szCs w:val="16"/>
                          <w:lang w:eastAsia="en-GB"/>
                        </w:rPr>
                        <w:br/>
                        <w:t xml:space="preserve">Whitehill Way, Swindon, Wiltshire, SN5 6PB </w:t>
                      </w:r>
                    </w:p>
                    <w:p w14:paraId="113D659A" w14:textId="77777777" w:rsidR="002905DA" w:rsidRPr="00BD3F39" w:rsidRDefault="002905DA" w:rsidP="00DF1EED">
                      <w:pPr>
                        <w:jc w:val="right"/>
                        <w:rPr>
                          <w:color w:val="1D4477" w:themeColor="accent1"/>
                        </w:rPr>
                      </w:pPr>
                      <w:r>
                        <w:rPr>
                          <w:rFonts w:eastAsia="Calibri" w:cs="Arial"/>
                          <w:noProof/>
                          <w:color w:val="1D4477" w:themeColor="accent1"/>
                          <w:sz w:val="16"/>
                          <w:szCs w:val="16"/>
                          <w:lang w:eastAsia="en-GB"/>
                        </w:rPr>
                        <w:t xml:space="preserve">Registered in </w:t>
                      </w:r>
                      <w:r w:rsidRPr="00BD3F39">
                        <w:rPr>
                          <w:rFonts w:eastAsia="Calibri" w:cs="Arial"/>
                          <w:noProof/>
                          <w:color w:val="1D4477" w:themeColor="accent1"/>
                          <w:sz w:val="16"/>
                          <w:szCs w:val="16"/>
                          <w:lang w:eastAsia="en-GB"/>
                        </w:rPr>
                        <w:t>England &amp; Wales, Company Number 07791964</w:t>
                      </w:r>
                    </w:p>
                  </w:txbxContent>
                </v:textbox>
                <w10:wrap type="square"/>
              </v:shape>
            </w:pict>
          </mc:Fallback>
        </mc:AlternateContent>
      </w:r>
      <w:r w:rsidR="00DF1EED" w:rsidRPr="00B91524">
        <w:rPr>
          <w:noProof/>
        </w:rPr>
        <w:drawing>
          <wp:anchor distT="0" distB="0" distL="114300" distR="114300" simplePos="0" relativeHeight="251659264" behindDoc="0" locked="0" layoutInCell="1" allowOverlap="1" wp14:anchorId="021CDF27" wp14:editId="28A9922B">
            <wp:simplePos x="0" y="0"/>
            <wp:positionH relativeFrom="margin">
              <wp:posOffset>4187190</wp:posOffset>
            </wp:positionH>
            <wp:positionV relativeFrom="margin">
              <wp:posOffset>6077585</wp:posOffset>
            </wp:positionV>
            <wp:extent cx="2506345" cy="974725"/>
            <wp:effectExtent l="0" t="0" r="0" b="0"/>
            <wp:wrapSquare wrapText="bothSides"/>
            <wp:docPr id="17" name="Picture 17"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ofia-landscape-RGB.jpg"/>
                    <pic:cNvPicPr/>
                  </pic:nvPicPr>
                  <pic:blipFill>
                    <a:blip r:embed="rId51" cstate="print">
                      <a:extLst>
                        <a:ext uri="{28A0092B-C50C-407E-A947-70E740481C1C}">
                          <a14:useLocalDpi xmlns:a14="http://schemas.microsoft.com/office/drawing/2010/main" val="0"/>
                        </a:ext>
                      </a:extLst>
                    </a:blip>
                    <a:stretch>
                      <a:fillRect/>
                    </a:stretch>
                  </pic:blipFill>
                  <pic:spPr>
                    <a:xfrm>
                      <a:off x="0" y="0"/>
                      <a:ext cx="2506345" cy="974725"/>
                    </a:xfrm>
                    <a:prstGeom prst="rect">
                      <a:avLst/>
                    </a:prstGeom>
                  </pic:spPr>
                </pic:pic>
              </a:graphicData>
            </a:graphic>
            <wp14:sizeRelH relativeFrom="margin">
              <wp14:pctWidth>0</wp14:pctWidth>
            </wp14:sizeRelH>
            <wp14:sizeRelV relativeFrom="margin">
              <wp14:pctHeight>0</wp14:pctHeight>
            </wp14:sizeRelV>
          </wp:anchor>
        </w:drawing>
      </w:r>
    </w:p>
    <w:sectPr w:rsidR="008C2557" w:rsidRPr="008C2557" w:rsidSect="0053263F">
      <w:headerReference w:type="default" r:id="rId52"/>
      <w:footerReference w:type="default" r:id="rId53"/>
      <w:pgSz w:w="11916" w:h="16848"/>
      <w:pgMar w:top="1440" w:right="1080" w:bottom="1440" w:left="1080" w:header="850" w:footer="70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617017" w14:textId="77777777" w:rsidR="002905DA" w:rsidRDefault="002905DA" w:rsidP="00C83C40">
      <w:r>
        <w:separator/>
      </w:r>
    </w:p>
    <w:p w14:paraId="38161286" w14:textId="77777777" w:rsidR="002905DA" w:rsidRDefault="002905DA"/>
  </w:endnote>
  <w:endnote w:type="continuationSeparator" w:id="0">
    <w:p w14:paraId="1B8DBD8D" w14:textId="77777777" w:rsidR="002905DA" w:rsidRDefault="002905DA" w:rsidP="00C83C40">
      <w:r>
        <w:continuationSeparator/>
      </w:r>
    </w:p>
    <w:p w14:paraId="27AD9501" w14:textId="77777777" w:rsidR="002905DA" w:rsidRDefault="002905D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lgerian">
    <w:panose1 w:val="04020705040A02060702"/>
    <w:charset w:val="00"/>
    <w:family w:val="decorative"/>
    <w:pitch w:val="variable"/>
    <w:sig w:usb0="00000003" w:usb1="00000000"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2CDD9D" w14:textId="77777777" w:rsidR="002905DA" w:rsidRPr="00AB69EF" w:rsidRDefault="002905DA" w:rsidP="00AB69EF">
    <w:pPr>
      <w:tabs>
        <w:tab w:val="right" w:pos="8931"/>
      </w:tabs>
      <w:rPr>
        <w:rFonts w:eastAsia="Calibri"/>
        <w:noProof/>
        <w:color w:val="000000" w:themeColor="text1"/>
        <w:sz w:val="18"/>
        <w:szCs w:val="17"/>
        <w:lang w:eastAsia="en-GB"/>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cs="Arial"/>
        <w:b w:val="0"/>
        <w:bCs w:val="0"/>
        <w:color w:val="auto"/>
      </w:rPr>
      <w:id w:val="2010255601"/>
      <w:docPartObj>
        <w:docPartGallery w:val="Page Numbers (Bottom of Page)"/>
        <w:docPartUnique/>
      </w:docPartObj>
    </w:sdtPr>
    <w:sdtEndPr/>
    <w:sdtContent>
      <w:sdt>
        <w:sdtPr>
          <w:rPr>
            <w:rFonts w:cs="Arial"/>
            <w:b w:val="0"/>
            <w:bCs w:val="0"/>
            <w:color w:val="auto"/>
          </w:rPr>
          <w:id w:val="886847575"/>
          <w:docPartObj>
            <w:docPartGallery w:val="Page Numbers (Top of Page)"/>
            <w:docPartUnique/>
          </w:docPartObj>
        </w:sdtPr>
        <w:sdtEndPr/>
        <w:sdtContent>
          <w:tbl>
            <w:tblPr>
              <w:tblStyle w:val="LightGrid"/>
              <w:tblW w:w="17153" w:type="dxa"/>
              <w:tblInd w:w="-1452" w:type="dxa"/>
              <w:tblLook w:val="04A0" w:firstRow="1" w:lastRow="0" w:firstColumn="1" w:lastColumn="0" w:noHBand="0" w:noVBand="1"/>
            </w:tblPr>
            <w:tblGrid>
              <w:gridCol w:w="17153"/>
            </w:tblGrid>
            <w:tr w:rsidR="002905DA" w14:paraId="0E663474" w14:textId="77777777" w:rsidTr="00EB36CF">
              <w:trPr>
                <w:cnfStyle w:val="100000000000" w:firstRow="1" w:lastRow="0" w:firstColumn="0" w:lastColumn="0" w:oddVBand="0" w:evenVBand="0" w:oddHBand="0" w:evenHBand="0" w:firstRowFirstColumn="0" w:firstRowLastColumn="0" w:lastRowFirstColumn="0" w:lastRowLastColumn="0"/>
                <w:trHeight w:val="113"/>
              </w:trPr>
              <w:tc>
                <w:tcPr>
                  <w:cnfStyle w:val="001000000000" w:firstRow="0" w:lastRow="0" w:firstColumn="1" w:lastColumn="0" w:oddVBand="0" w:evenVBand="0" w:oddHBand="0" w:evenHBand="0" w:firstRowFirstColumn="0" w:firstRowLastColumn="0" w:lastRowFirstColumn="0" w:lastRowLastColumn="0"/>
                  <w:tcW w:w="17153" w:type="dxa"/>
                  <w:tcBorders>
                    <w:top w:val="nil"/>
                    <w:bottom w:val="nil"/>
                  </w:tcBorders>
                  <w:shd w:val="clear" w:color="auto" w:fill="FDC300" w:themeFill="accent3"/>
                </w:tcPr>
                <w:p w14:paraId="58108FB7" w14:textId="77777777" w:rsidR="002905DA" w:rsidRPr="00BD3F39" w:rsidRDefault="002905DA" w:rsidP="0070149E">
                  <w:pPr>
                    <w:pStyle w:val="Header"/>
                    <w:contextualSpacing/>
                    <w:jc w:val="center"/>
                    <w:rPr>
                      <w:sz w:val="8"/>
                      <w:szCs w:val="8"/>
                    </w:rPr>
                  </w:pPr>
                </w:p>
              </w:tc>
            </w:tr>
          </w:tbl>
          <w:p w14:paraId="01F6F8DF" w14:textId="77777777" w:rsidR="002905DA" w:rsidRDefault="002905DA">
            <w:pPr>
              <w:pStyle w:val="Footer"/>
              <w:jc w:val="center"/>
              <w:rPr>
                <w:rFonts w:cs="Arial"/>
              </w:rPr>
            </w:pPr>
          </w:p>
          <w:p w14:paraId="7AB6355C" w14:textId="5DE44AA8" w:rsidR="002905DA" w:rsidRPr="0053263F" w:rsidRDefault="002905DA">
            <w:pPr>
              <w:pStyle w:val="Footer"/>
              <w:jc w:val="center"/>
              <w:rPr>
                <w:rFonts w:cs="Arial"/>
              </w:rPr>
            </w:pPr>
            <w:r w:rsidRPr="0053263F">
              <w:rPr>
                <w:rFonts w:cs="Arial"/>
              </w:rPr>
              <w:t xml:space="preserve">Page </w:t>
            </w:r>
            <w:r w:rsidRPr="0053263F">
              <w:rPr>
                <w:rFonts w:cs="Arial"/>
                <w:b/>
                <w:bCs/>
                <w:sz w:val="24"/>
                <w:szCs w:val="24"/>
              </w:rPr>
              <w:fldChar w:fldCharType="begin"/>
            </w:r>
            <w:r w:rsidRPr="0053263F">
              <w:rPr>
                <w:rFonts w:cs="Arial"/>
                <w:b/>
                <w:bCs/>
              </w:rPr>
              <w:instrText xml:space="preserve"> PAGE </w:instrText>
            </w:r>
            <w:r w:rsidRPr="0053263F">
              <w:rPr>
                <w:rFonts w:cs="Arial"/>
                <w:b/>
                <w:bCs/>
                <w:sz w:val="24"/>
                <w:szCs w:val="24"/>
              </w:rPr>
              <w:fldChar w:fldCharType="separate"/>
            </w:r>
            <w:r w:rsidRPr="0053263F">
              <w:rPr>
                <w:rFonts w:cs="Arial"/>
                <w:b/>
                <w:bCs/>
                <w:noProof/>
              </w:rPr>
              <w:t>2</w:t>
            </w:r>
            <w:r w:rsidRPr="0053263F">
              <w:rPr>
                <w:rFonts w:cs="Arial"/>
                <w:b/>
                <w:bCs/>
                <w:sz w:val="24"/>
                <w:szCs w:val="24"/>
              </w:rPr>
              <w:fldChar w:fldCharType="end"/>
            </w:r>
            <w:r w:rsidRPr="0053263F">
              <w:rPr>
                <w:rFonts w:cs="Arial"/>
              </w:rPr>
              <w:t xml:space="preserve"> of </w:t>
            </w:r>
            <w:r w:rsidRPr="0053263F">
              <w:rPr>
                <w:rFonts w:cs="Arial"/>
                <w:b/>
                <w:bCs/>
                <w:sz w:val="24"/>
                <w:szCs w:val="24"/>
              </w:rPr>
              <w:fldChar w:fldCharType="begin"/>
            </w:r>
            <w:r w:rsidRPr="0053263F">
              <w:rPr>
                <w:rFonts w:cs="Arial"/>
                <w:b/>
                <w:bCs/>
              </w:rPr>
              <w:instrText xml:space="preserve"> NUMPAGES  </w:instrText>
            </w:r>
            <w:r w:rsidRPr="0053263F">
              <w:rPr>
                <w:rFonts w:cs="Arial"/>
                <w:b/>
                <w:bCs/>
                <w:sz w:val="24"/>
                <w:szCs w:val="24"/>
              </w:rPr>
              <w:fldChar w:fldCharType="separate"/>
            </w:r>
            <w:r w:rsidRPr="0053263F">
              <w:rPr>
                <w:rFonts w:cs="Arial"/>
                <w:b/>
                <w:bCs/>
                <w:noProof/>
              </w:rPr>
              <w:t>2</w:t>
            </w:r>
            <w:r w:rsidRPr="0053263F">
              <w:rPr>
                <w:rFonts w:cs="Arial"/>
                <w:b/>
                <w:bCs/>
                <w:sz w:val="24"/>
                <w:szCs w:val="24"/>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cs="Arial"/>
        <w:b w:val="0"/>
        <w:bCs w:val="0"/>
        <w:color w:val="auto"/>
      </w:rPr>
      <w:id w:val="2137521566"/>
      <w:docPartObj>
        <w:docPartGallery w:val="Page Numbers (Bottom of Page)"/>
        <w:docPartUnique/>
      </w:docPartObj>
    </w:sdtPr>
    <w:sdtEndPr/>
    <w:sdtContent>
      <w:sdt>
        <w:sdtPr>
          <w:rPr>
            <w:rFonts w:cs="Arial"/>
            <w:b w:val="0"/>
            <w:bCs w:val="0"/>
            <w:color w:val="auto"/>
          </w:rPr>
          <w:id w:val="-9067542"/>
          <w:docPartObj>
            <w:docPartGallery w:val="Page Numbers (Top of Page)"/>
            <w:docPartUnique/>
          </w:docPartObj>
        </w:sdtPr>
        <w:sdtEndPr/>
        <w:sdtContent>
          <w:tbl>
            <w:tblPr>
              <w:tblStyle w:val="LightGrid"/>
              <w:tblW w:w="17153" w:type="dxa"/>
              <w:tblInd w:w="-1452" w:type="dxa"/>
              <w:tblLook w:val="04A0" w:firstRow="1" w:lastRow="0" w:firstColumn="1" w:lastColumn="0" w:noHBand="0" w:noVBand="1"/>
            </w:tblPr>
            <w:tblGrid>
              <w:gridCol w:w="17153"/>
            </w:tblGrid>
            <w:tr w:rsidR="002905DA" w14:paraId="110AA8C2" w14:textId="77777777" w:rsidTr="00EB36CF">
              <w:trPr>
                <w:cnfStyle w:val="100000000000" w:firstRow="1" w:lastRow="0" w:firstColumn="0" w:lastColumn="0" w:oddVBand="0" w:evenVBand="0" w:oddHBand="0" w:evenHBand="0" w:firstRowFirstColumn="0" w:firstRowLastColumn="0" w:lastRowFirstColumn="0" w:lastRowLastColumn="0"/>
                <w:trHeight w:val="113"/>
              </w:trPr>
              <w:tc>
                <w:tcPr>
                  <w:cnfStyle w:val="001000000000" w:firstRow="0" w:lastRow="0" w:firstColumn="1" w:lastColumn="0" w:oddVBand="0" w:evenVBand="0" w:oddHBand="0" w:evenHBand="0" w:firstRowFirstColumn="0" w:firstRowLastColumn="0" w:lastRowFirstColumn="0" w:lastRowLastColumn="0"/>
                  <w:tcW w:w="17153" w:type="dxa"/>
                  <w:tcBorders>
                    <w:top w:val="nil"/>
                    <w:bottom w:val="nil"/>
                  </w:tcBorders>
                  <w:shd w:val="clear" w:color="auto" w:fill="FDC300" w:themeFill="accent3"/>
                </w:tcPr>
                <w:p w14:paraId="54CE7FD3" w14:textId="77777777" w:rsidR="002905DA" w:rsidRPr="00BD3F39" w:rsidRDefault="002905DA" w:rsidP="0070149E">
                  <w:pPr>
                    <w:pStyle w:val="Header"/>
                    <w:contextualSpacing/>
                    <w:jc w:val="center"/>
                    <w:rPr>
                      <w:sz w:val="8"/>
                      <w:szCs w:val="8"/>
                    </w:rPr>
                  </w:pPr>
                </w:p>
              </w:tc>
            </w:tr>
          </w:tbl>
          <w:p w14:paraId="60F8CB8E" w14:textId="77777777" w:rsidR="002905DA" w:rsidRDefault="002905DA">
            <w:pPr>
              <w:pStyle w:val="Footer"/>
              <w:jc w:val="center"/>
              <w:rPr>
                <w:rFonts w:cs="Arial"/>
              </w:rPr>
            </w:pPr>
          </w:p>
          <w:p w14:paraId="43A5DF73" w14:textId="12CC4E47" w:rsidR="002905DA" w:rsidRPr="0053263F" w:rsidRDefault="002905DA">
            <w:pPr>
              <w:pStyle w:val="Footer"/>
              <w:jc w:val="center"/>
              <w:rPr>
                <w:rFonts w:cs="Arial"/>
              </w:rPr>
            </w:pPr>
            <w:r w:rsidRPr="0053263F">
              <w:rPr>
                <w:rFonts w:cs="Arial"/>
              </w:rPr>
              <w:t xml:space="preserve">Page </w:t>
            </w:r>
            <w:r w:rsidRPr="0053263F">
              <w:rPr>
                <w:rFonts w:cs="Arial"/>
                <w:b/>
                <w:bCs/>
                <w:sz w:val="24"/>
                <w:szCs w:val="24"/>
              </w:rPr>
              <w:fldChar w:fldCharType="begin"/>
            </w:r>
            <w:r w:rsidRPr="0053263F">
              <w:rPr>
                <w:rFonts w:cs="Arial"/>
                <w:b/>
                <w:bCs/>
              </w:rPr>
              <w:instrText xml:space="preserve"> PAGE </w:instrText>
            </w:r>
            <w:r w:rsidRPr="0053263F">
              <w:rPr>
                <w:rFonts w:cs="Arial"/>
                <w:b/>
                <w:bCs/>
                <w:sz w:val="24"/>
                <w:szCs w:val="24"/>
              </w:rPr>
              <w:fldChar w:fldCharType="separate"/>
            </w:r>
            <w:r w:rsidRPr="0053263F">
              <w:rPr>
                <w:rFonts w:cs="Arial"/>
                <w:b/>
                <w:bCs/>
                <w:noProof/>
              </w:rPr>
              <w:t>2</w:t>
            </w:r>
            <w:r w:rsidRPr="0053263F">
              <w:rPr>
                <w:rFonts w:cs="Arial"/>
                <w:b/>
                <w:bCs/>
                <w:sz w:val="24"/>
                <w:szCs w:val="24"/>
              </w:rPr>
              <w:fldChar w:fldCharType="end"/>
            </w:r>
            <w:r w:rsidRPr="0053263F">
              <w:rPr>
                <w:rFonts w:cs="Arial"/>
              </w:rPr>
              <w:t xml:space="preserve"> of </w:t>
            </w:r>
            <w:r w:rsidRPr="0053263F">
              <w:rPr>
                <w:rFonts w:cs="Arial"/>
                <w:b/>
                <w:bCs/>
                <w:sz w:val="24"/>
                <w:szCs w:val="24"/>
              </w:rPr>
              <w:fldChar w:fldCharType="begin"/>
            </w:r>
            <w:r w:rsidRPr="0053263F">
              <w:rPr>
                <w:rFonts w:cs="Arial"/>
                <w:b/>
                <w:bCs/>
              </w:rPr>
              <w:instrText xml:space="preserve"> NUMPAGES  </w:instrText>
            </w:r>
            <w:r w:rsidRPr="0053263F">
              <w:rPr>
                <w:rFonts w:cs="Arial"/>
                <w:b/>
                <w:bCs/>
                <w:sz w:val="24"/>
                <w:szCs w:val="24"/>
              </w:rPr>
              <w:fldChar w:fldCharType="separate"/>
            </w:r>
            <w:r w:rsidRPr="0053263F">
              <w:rPr>
                <w:rFonts w:cs="Arial"/>
                <w:b/>
                <w:bCs/>
                <w:noProof/>
              </w:rPr>
              <w:t>2</w:t>
            </w:r>
            <w:r w:rsidRPr="0053263F">
              <w:rPr>
                <w:rFonts w:cs="Arial"/>
                <w:b/>
                <w:bCs/>
                <w:sz w:val="24"/>
                <w:szCs w:val="24"/>
              </w:rPr>
              <w:fldChar w:fldCharType="end"/>
            </w:r>
          </w:p>
        </w:sdtContent>
      </w:sdt>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cs="Arial"/>
        <w:b w:val="0"/>
        <w:bCs w:val="0"/>
        <w:color w:val="auto"/>
      </w:rPr>
      <w:id w:val="989825400"/>
      <w:docPartObj>
        <w:docPartGallery w:val="Page Numbers (Bottom of Page)"/>
        <w:docPartUnique/>
      </w:docPartObj>
    </w:sdtPr>
    <w:sdtEndPr/>
    <w:sdtContent>
      <w:sdt>
        <w:sdtPr>
          <w:rPr>
            <w:rFonts w:cs="Arial"/>
            <w:b w:val="0"/>
            <w:bCs w:val="0"/>
            <w:color w:val="auto"/>
          </w:rPr>
          <w:id w:val="1728636285"/>
          <w:docPartObj>
            <w:docPartGallery w:val="Page Numbers (Top of Page)"/>
            <w:docPartUnique/>
          </w:docPartObj>
        </w:sdtPr>
        <w:sdtEndPr/>
        <w:sdtContent>
          <w:tbl>
            <w:tblPr>
              <w:tblStyle w:val="LightGrid"/>
              <w:tblW w:w="17153" w:type="dxa"/>
              <w:tblInd w:w="-1452" w:type="dxa"/>
              <w:tblLook w:val="04A0" w:firstRow="1" w:lastRow="0" w:firstColumn="1" w:lastColumn="0" w:noHBand="0" w:noVBand="1"/>
            </w:tblPr>
            <w:tblGrid>
              <w:gridCol w:w="17153"/>
            </w:tblGrid>
            <w:tr w:rsidR="002905DA" w14:paraId="0B8EC44E" w14:textId="421E27DF" w:rsidTr="00EB36CF">
              <w:trPr>
                <w:cnfStyle w:val="100000000000" w:firstRow="1" w:lastRow="0" w:firstColumn="0" w:lastColumn="0" w:oddVBand="0" w:evenVBand="0" w:oddHBand="0" w:evenHBand="0" w:firstRowFirstColumn="0" w:firstRowLastColumn="0" w:lastRowFirstColumn="0" w:lastRowLastColumn="0"/>
                <w:trHeight w:val="113"/>
              </w:trPr>
              <w:tc>
                <w:tcPr>
                  <w:cnfStyle w:val="001000000000" w:firstRow="0" w:lastRow="0" w:firstColumn="1" w:lastColumn="0" w:oddVBand="0" w:evenVBand="0" w:oddHBand="0" w:evenHBand="0" w:firstRowFirstColumn="0" w:firstRowLastColumn="0" w:lastRowFirstColumn="0" w:lastRowLastColumn="0"/>
                  <w:tcW w:w="17153" w:type="dxa"/>
                  <w:tcBorders>
                    <w:top w:val="nil"/>
                    <w:bottom w:val="nil"/>
                  </w:tcBorders>
                  <w:shd w:val="clear" w:color="auto" w:fill="FDC300" w:themeFill="accent3"/>
                </w:tcPr>
                <w:p w14:paraId="611F5F10" w14:textId="77777777" w:rsidR="002905DA" w:rsidRPr="00BD3F39" w:rsidRDefault="002905DA" w:rsidP="0070149E">
                  <w:pPr>
                    <w:pStyle w:val="Header"/>
                    <w:contextualSpacing/>
                    <w:jc w:val="center"/>
                    <w:rPr>
                      <w:sz w:val="8"/>
                      <w:szCs w:val="8"/>
                    </w:rPr>
                  </w:pPr>
                </w:p>
              </w:tc>
            </w:tr>
          </w:tbl>
          <w:p w14:paraId="7F0D8F7E" w14:textId="656239F2" w:rsidR="002905DA" w:rsidRDefault="002905DA">
            <w:pPr>
              <w:pStyle w:val="Footer"/>
              <w:jc w:val="center"/>
              <w:rPr>
                <w:rFonts w:cs="Arial"/>
              </w:rPr>
            </w:pPr>
          </w:p>
          <w:p w14:paraId="4646C697" w14:textId="36B1414F" w:rsidR="002905DA" w:rsidRPr="0053263F" w:rsidRDefault="002905DA">
            <w:pPr>
              <w:pStyle w:val="Footer"/>
              <w:jc w:val="center"/>
              <w:rPr>
                <w:rFonts w:cs="Arial"/>
              </w:rPr>
            </w:pPr>
            <w:r w:rsidRPr="0053263F">
              <w:rPr>
                <w:rFonts w:cs="Arial"/>
              </w:rPr>
              <w:t xml:space="preserve">Page </w:t>
            </w:r>
            <w:r w:rsidRPr="0053263F">
              <w:rPr>
                <w:rFonts w:cs="Arial"/>
                <w:b/>
                <w:bCs/>
                <w:sz w:val="24"/>
                <w:szCs w:val="24"/>
              </w:rPr>
              <w:fldChar w:fldCharType="begin"/>
            </w:r>
            <w:r w:rsidRPr="0053263F">
              <w:rPr>
                <w:rFonts w:cs="Arial"/>
                <w:b/>
                <w:bCs/>
              </w:rPr>
              <w:instrText xml:space="preserve"> PAGE </w:instrText>
            </w:r>
            <w:r w:rsidRPr="0053263F">
              <w:rPr>
                <w:rFonts w:cs="Arial"/>
                <w:b/>
                <w:bCs/>
                <w:sz w:val="24"/>
                <w:szCs w:val="24"/>
              </w:rPr>
              <w:fldChar w:fldCharType="separate"/>
            </w:r>
            <w:r w:rsidRPr="0053263F">
              <w:rPr>
                <w:rFonts w:cs="Arial"/>
                <w:b/>
                <w:bCs/>
                <w:noProof/>
              </w:rPr>
              <w:t>2</w:t>
            </w:r>
            <w:r w:rsidRPr="0053263F">
              <w:rPr>
                <w:rFonts w:cs="Arial"/>
                <w:b/>
                <w:bCs/>
                <w:sz w:val="24"/>
                <w:szCs w:val="24"/>
              </w:rPr>
              <w:fldChar w:fldCharType="end"/>
            </w:r>
            <w:r w:rsidRPr="0053263F">
              <w:rPr>
                <w:rFonts w:cs="Arial"/>
              </w:rPr>
              <w:t xml:space="preserve"> of </w:t>
            </w:r>
            <w:r w:rsidRPr="0053263F">
              <w:rPr>
                <w:rFonts w:cs="Arial"/>
                <w:b/>
                <w:bCs/>
                <w:sz w:val="24"/>
                <w:szCs w:val="24"/>
              </w:rPr>
              <w:fldChar w:fldCharType="begin"/>
            </w:r>
            <w:r w:rsidRPr="0053263F">
              <w:rPr>
                <w:rFonts w:cs="Arial"/>
                <w:b/>
                <w:bCs/>
              </w:rPr>
              <w:instrText xml:space="preserve"> NUMPAGES  </w:instrText>
            </w:r>
            <w:r w:rsidRPr="0053263F">
              <w:rPr>
                <w:rFonts w:cs="Arial"/>
                <w:b/>
                <w:bCs/>
                <w:sz w:val="24"/>
                <w:szCs w:val="24"/>
              </w:rPr>
              <w:fldChar w:fldCharType="separate"/>
            </w:r>
            <w:r w:rsidRPr="0053263F">
              <w:rPr>
                <w:rFonts w:cs="Arial"/>
                <w:b/>
                <w:bCs/>
                <w:noProof/>
              </w:rPr>
              <w:t>2</w:t>
            </w:r>
            <w:r w:rsidRPr="0053263F">
              <w:rPr>
                <w:rFonts w:cs="Arial"/>
                <w:b/>
                <w:bCs/>
                <w:sz w:val="24"/>
                <w:szCs w:val="24"/>
              </w:rPr>
              <w:fldChar w:fldCharType="end"/>
            </w:r>
          </w:p>
        </w:sdtContent>
      </w:sdt>
    </w:sdtContent>
  </w:sdt>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2D7346" w14:textId="77777777" w:rsidR="002905DA" w:rsidRPr="0053263F" w:rsidRDefault="002905DA">
    <w:pPr>
      <w:pStyle w:val="Footer"/>
      <w:jc w:val="center"/>
      <w:rPr>
        <w:rFonts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0975F3" w14:textId="77777777" w:rsidR="002905DA" w:rsidRPr="003D610D" w:rsidRDefault="002905DA" w:rsidP="003D610D">
      <w:pPr>
        <w:pStyle w:val="Footer"/>
      </w:pPr>
    </w:p>
    <w:p w14:paraId="02FE9C49" w14:textId="77777777" w:rsidR="002905DA" w:rsidRDefault="002905DA"/>
  </w:footnote>
  <w:footnote w:type="continuationSeparator" w:id="0">
    <w:p w14:paraId="2ADF0905" w14:textId="77777777" w:rsidR="002905DA" w:rsidRDefault="002905DA" w:rsidP="00C83C40">
      <w:r>
        <w:continuationSeparator/>
      </w:r>
    </w:p>
    <w:p w14:paraId="4969DDC2" w14:textId="77777777" w:rsidR="002905DA" w:rsidRDefault="002905DA"/>
  </w:footnote>
  <w:footnote w:id="1">
    <w:p w14:paraId="18CB9CA6" w14:textId="77777777" w:rsidR="002905DA" w:rsidRDefault="002905DA" w:rsidP="000A00B4"/>
  </w:footnote>
  <w:footnote w:id="2">
    <w:p w14:paraId="24CC532C" w14:textId="1C275609" w:rsidR="002905DA" w:rsidRDefault="002905DA" w:rsidP="00294036">
      <w:pPr>
        <w:pStyle w:val="FootnoteText"/>
        <w:jc w:val="both"/>
      </w:pPr>
      <w:r w:rsidRPr="00294036">
        <w:rPr>
          <w:rStyle w:val="FootnoteReference"/>
          <w:highlight w:val="yellow"/>
        </w:rPr>
        <w:footnoteRef/>
      </w:r>
      <w:r w:rsidRPr="00294036">
        <w:rPr>
          <w:highlight w:val="yellow"/>
        </w:rPr>
        <w:t xml:space="preserve"> Based on SOWFL experiences in sampling the SOWF and wider Dogger Bank area in 2011/2012, 2020 and 2021, it is anticipated that samples volumes &gt;5 L are unlikely due to the compact nature of the sandy sediments. As such, sample volumes &gt; 3L will be deemed acceptable however the volume of subsamples taken for subsequent PSD analysis for samples between 3-5L will be kept to a minimum where possible</w:t>
      </w:r>
      <w:r>
        <w:t>.</w:t>
      </w:r>
    </w:p>
  </w:footnote>
  <w:footnote w:id="3">
    <w:p w14:paraId="48F292DD" w14:textId="77777777" w:rsidR="002905DA" w:rsidRDefault="002905DA" w:rsidP="00BE32FA">
      <w:pPr>
        <w:pStyle w:val="FootnoteText"/>
      </w:pPr>
      <w:r>
        <w:rPr>
          <w:rStyle w:val="FootnoteReference"/>
        </w:rPr>
        <w:footnoteRef/>
      </w:r>
      <w:r>
        <w:t xml:space="preserve"> </w:t>
      </w:r>
      <w:r w:rsidRPr="00276A3C">
        <w:rPr>
          <w:sz w:val="18"/>
          <w:szCs w:val="18"/>
        </w:rPr>
        <w:t>Appendix C Ocean Ecology Limited. Sofia Offshore Windfarm Nearshore Export Cable Drop-Down Camera Survey Technical Report (Separate Document) (Ecodoc Ref: 003406742-01).</w:t>
      </w:r>
    </w:p>
  </w:footnote>
  <w:footnote w:id="4">
    <w:p w14:paraId="1CF8F517" w14:textId="77777777" w:rsidR="002905DA" w:rsidRPr="00987C1F" w:rsidRDefault="002905DA" w:rsidP="00BE32FA">
      <w:pPr>
        <w:pStyle w:val="FootnoteText"/>
        <w:rPr>
          <w:rFonts w:cs="Arial"/>
          <w:sz w:val="18"/>
          <w:szCs w:val="18"/>
        </w:rPr>
      </w:pPr>
      <w:r w:rsidRPr="00987C1F">
        <w:rPr>
          <w:rStyle w:val="FootnoteReference"/>
          <w:rFonts w:cs="Arial"/>
          <w:sz w:val="18"/>
          <w:szCs w:val="18"/>
        </w:rPr>
        <w:footnoteRef/>
      </w:r>
      <w:r w:rsidRPr="00987C1F">
        <w:rPr>
          <w:rFonts w:cs="Arial"/>
          <w:sz w:val="18"/>
          <w:szCs w:val="18"/>
        </w:rPr>
        <w:t xml:space="preserve"> </w:t>
      </w:r>
      <w:r w:rsidRPr="00987C1F">
        <w:rPr>
          <w:rFonts w:eastAsia="Calibri Light" w:cs="Arial"/>
          <w:spacing w:val="1"/>
          <w:sz w:val="18"/>
          <w:szCs w:val="18"/>
        </w:rPr>
        <w:t>SOWFL will be submitting a dML variation request to include the Offshore Converter Platform within dML11 as a transmission asset due to its transfer to the OFTO</w:t>
      </w:r>
      <w:r w:rsidRPr="00987C1F">
        <w:rPr>
          <w:rFonts w:cs="Arial"/>
          <w:sz w:val="18"/>
          <w:szCs w:val="18"/>
        </w:rPr>
        <w:t xml:space="preserve"> </w:t>
      </w:r>
    </w:p>
  </w:footnote>
  <w:footnote w:id="5">
    <w:p w14:paraId="2DECDF06" w14:textId="77777777" w:rsidR="002905DA" w:rsidRDefault="002905DA" w:rsidP="00BE32FA">
      <w:pPr>
        <w:pStyle w:val="FootnoteText"/>
      </w:pPr>
      <w:r>
        <w:rPr>
          <w:rStyle w:val="FootnoteReference"/>
        </w:rPr>
        <w:footnoteRef/>
      </w:r>
      <w:r>
        <w:t xml:space="preserve"> </w:t>
      </w:r>
      <w:r w:rsidRPr="00F4353F">
        <w:rPr>
          <w:sz w:val="18"/>
          <w:szCs w:val="18"/>
        </w:rPr>
        <w:t>Where sufficient material is available in the vibrocore sample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A55E0A" w14:textId="77777777" w:rsidR="002905DA" w:rsidRPr="009636FC" w:rsidRDefault="002905DA" w:rsidP="00E6509D">
    <w:pPr>
      <w:pStyle w:val="Header"/>
      <w:tabs>
        <w:tab w:val="clear" w:pos="4320"/>
        <w:tab w:val="clear" w:pos="864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E37CCB" w14:textId="77777777" w:rsidR="002905DA" w:rsidRDefault="002905DA" w:rsidP="00B87F68">
    <w:pPr>
      <w:pStyle w:val="Header"/>
      <w:contextualSpacing/>
    </w:pPr>
    <w:r>
      <w:rPr>
        <w:noProof/>
      </w:rPr>
      <w:drawing>
        <wp:anchor distT="0" distB="0" distL="114300" distR="114300" simplePos="0" relativeHeight="251661312" behindDoc="0" locked="0" layoutInCell="1" allowOverlap="1" wp14:anchorId="574280A9" wp14:editId="2D4EB94C">
          <wp:simplePos x="0" y="0"/>
          <wp:positionH relativeFrom="margin">
            <wp:posOffset>4693689</wp:posOffset>
          </wp:positionH>
          <wp:positionV relativeFrom="margin">
            <wp:posOffset>-716049</wp:posOffset>
          </wp:positionV>
          <wp:extent cx="1714500" cy="666750"/>
          <wp:effectExtent l="0" t="0" r="0" b="0"/>
          <wp:wrapSquare wrapText="bothSides"/>
          <wp:docPr id="31" name="Picture 31"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ofia-landscape-RGB.jpg"/>
                  <pic:cNvPicPr/>
                </pic:nvPicPr>
                <pic:blipFill>
                  <a:blip r:embed="rId1">
                    <a:extLst>
                      <a:ext uri="{28A0092B-C50C-407E-A947-70E740481C1C}">
                        <a14:useLocalDpi xmlns:a14="http://schemas.microsoft.com/office/drawing/2010/main" val="0"/>
                      </a:ext>
                    </a:extLst>
                  </a:blip>
                  <a:stretch>
                    <a:fillRect/>
                  </a:stretch>
                </pic:blipFill>
                <pic:spPr>
                  <a:xfrm>
                    <a:off x="0" y="0"/>
                    <a:ext cx="1714500" cy="666750"/>
                  </a:xfrm>
                  <a:prstGeom prst="rect">
                    <a:avLst/>
                  </a:prstGeom>
                </pic:spPr>
              </pic:pic>
            </a:graphicData>
          </a:graphic>
          <wp14:sizeRelH relativeFrom="margin">
            <wp14:pctWidth>0</wp14:pctWidth>
          </wp14:sizeRelH>
          <wp14:sizeRelV relativeFrom="margin">
            <wp14:pctHeight>0</wp14:pctHeight>
          </wp14:sizeRelV>
        </wp:anchor>
      </w:drawing>
    </w:r>
  </w:p>
  <w:p w14:paraId="58375C00" w14:textId="77777777" w:rsidR="002905DA" w:rsidRDefault="002905DA" w:rsidP="00B87F68">
    <w:pPr>
      <w:pStyle w:val="Header"/>
      <w:contextualSpacing/>
    </w:pPr>
  </w:p>
  <w:p w14:paraId="5ED14730" w14:textId="77777777" w:rsidR="002905DA" w:rsidRDefault="002905DA" w:rsidP="00B87F68">
    <w:pPr>
      <w:pStyle w:val="Header"/>
      <w:contextualSpacing/>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494116" w14:textId="77777777" w:rsidR="002905DA" w:rsidRDefault="002905DA" w:rsidP="00B87F68">
    <w:pPr>
      <w:pStyle w:val="Header"/>
      <w:contextualSpacing/>
    </w:pPr>
    <w:r>
      <w:rPr>
        <w:noProof/>
      </w:rPr>
      <w:drawing>
        <wp:anchor distT="0" distB="0" distL="114300" distR="114300" simplePos="0" relativeHeight="251663360" behindDoc="0" locked="0" layoutInCell="1" allowOverlap="1" wp14:anchorId="0BCA8BC9" wp14:editId="3E451F41">
          <wp:simplePos x="0" y="0"/>
          <wp:positionH relativeFrom="margin">
            <wp:align>right</wp:align>
          </wp:positionH>
          <wp:positionV relativeFrom="margin">
            <wp:posOffset>-725170</wp:posOffset>
          </wp:positionV>
          <wp:extent cx="1714500" cy="666750"/>
          <wp:effectExtent l="0" t="0" r="0" b="0"/>
          <wp:wrapSquare wrapText="bothSides"/>
          <wp:docPr id="32" name="Picture 32"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ofia-landscape-RGB.jpg"/>
                  <pic:cNvPicPr/>
                </pic:nvPicPr>
                <pic:blipFill>
                  <a:blip r:embed="rId1">
                    <a:extLst>
                      <a:ext uri="{28A0092B-C50C-407E-A947-70E740481C1C}">
                        <a14:useLocalDpi xmlns:a14="http://schemas.microsoft.com/office/drawing/2010/main" val="0"/>
                      </a:ext>
                    </a:extLst>
                  </a:blip>
                  <a:stretch>
                    <a:fillRect/>
                  </a:stretch>
                </pic:blipFill>
                <pic:spPr>
                  <a:xfrm>
                    <a:off x="0" y="0"/>
                    <a:ext cx="1714500" cy="666750"/>
                  </a:xfrm>
                  <a:prstGeom prst="rect">
                    <a:avLst/>
                  </a:prstGeom>
                </pic:spPr>
              </pic:pic>
            </a:graphicData>
          </a:graphic>
          <wp14:sizeRelH relativeFrom="margin">
            <wp14:pctWidth>0</wp14:pctWidth>
          </wp14:sizeRelH>
          <wp14:sizeRelV relativeFrom="margin">
            <wp14:pctHeight>0</wp14:pctHeight>
          </wp14:sizeRelV>
        </wp:anchor>
      </w:drawing>
    </w:r>
  </w:p>
  <w:p w14:paraId="3C52BE43" w14:textId="77777777" w:rsidR="002905DA" w:rsidRDefault="002905DA" w:rsidP="00B87F68">
    <w:pPr>
      <w:pStyle w:val="Header"/>
      <w:contextualSpacing/>
    </w:pPr>
  </w:p>
  <w:p w14:paraId="4D59DEF0" w14:textId="77777777" w:rsidR="002905DA" w:rsidRDefault="002905DA" w:rsidP="00B87F68">
    <w:pPr>
      <w:pStyle w:val="Header"/>
      <w:contextualSpacing/>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A35D37" w14:textId="77777777" w:rsidR="002905DA" w:rsidRDefault="002905DA" w:rsidP="00B87F68">
    <w:pPr>
      <w:pStyle w:val="Header"/>
      <w:contextualSpacing/>
    </w:pPr>
    <w:r>
      <w:rPr>
        <w:noProof/>
      </w:rPr>
      <w:drawing>
        <wp:anchor distT="0" distB="0" distL="114300" distR="114300" simplePos="0" relativeHeight="251665408" behindDoc="0" locked="0" layoutInCell="1" allowOverlap="1" wp14:anchorId="482F3B3A" wp14:editId="56FFF33D">
          <wp:simplePos x="0" y="0"/>
          <wp:positionH relativeFrom="margin">
            <wp:posOffset>4693689</wp:posOffset>
          </wp:positionH>
          <wp:positionV relativeFrom="margin">
            <wp:posOffset>-716049</wp:posOffset>
          </wp:positionV>
          <wp:extent cx="1714500" cy="666750"/>
          <wp:effectExtent l="0" t="0" r="0" b="0"/>
          <wp:wrapSquare wrapText="bothSides"/>
          <wp:docPr id="34" name="Picture 34"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ofia-landscape-RGB.jpg"/>
                  <pic:cNvPicPr/>
                </pic:nvPicPr>
                <pic:blipFill>
                  <a:blip r:embed="rId1">
                    <a:extLst>
                      <a:ext uri="{28A0092B-C50C-407E-A947-70E740481C1C}">
                        <a14:useLocalDpi xmlns:a14="http://schemas.microsoft.com/office/drawing/2010/main" val="0"/>
                      </a:ext>
                    </a:extLst>
                  </a:blip>
                  <a:stretch>
                    <a:fillRect/>
                  </a:stretch>
                </pic:blipFill>
                <pic:spPr>
                  <a:xfrm>
                    <a:off x="0" y="0"/>
                    <a:ext cx="1714500" cy="666750"/>
                  </a:xfrm>
                  <a:prstGeom prst="rect">
                    <a:avLst/>
                  </a:prstGeom>
                </pic:spPr>
              </pic:pic>
            </a:graphicData>
          </a:graphic>
          <wp14:sizeRelH relativeFrom="margin">
            <wp14:pctWidth>0</wp14:pctWidth>
          </wp14:sizeRelH>
          <wp14:sizeRelV relativeFrom="margin">
            <wp14:pctHeight>0</wp14:pctHeight>
          </wp14:sizeRelV>
        </wp:anchor>
      </w:drawing>
    </w:r>
  </w:p>
  <w:p w14:paraId="773BE816" w14:textId="77777777" w:rsidR="002905DA" w:rsidRDefault="002905DA" w:rsidP="00B87F68">
    <w:pPr>
      <w:pStyle w:val="Header"/>
      <w:contextualSpacing/>
    </w:pPr>
  </w:p>
  <w:p w14:paraId="50437D6A" w14:textId="77777777" w:rsidR="002905DA" w:rsidRDefault="002905DA" w:rsidP="00B87F68">
    <w:pPr>
      <w:pStyle w:val="Header"/>
      <w:contextualSpacing/>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3EF5E1" w14:textId="5C99B870" w:rsidR="002905DA" w:rsidRDefault="002905DA" w:rsidP="00B87F68">
    <w:pPr>
      <w:pStyle w:val="Header"/>
      <w:contextualSpacing/>
    </w:pPr>
    <w:r>
      <w:rPr>
        <w:noProof/>
      </w:rPr>
      <w:drawing>
        <wp:anchor distT="0" distB="0" distL="114300" distR="114300" simplePos="0" relativeHeight="251667456" behindDoc="0" locked="0" layoutInCell="1" allowOverlap="1" wp14:anchorId="4ADC2964" wp14:editId="4B189267">
          <wp:simplePos x="0" y="0"/>
          <wp:positionH relativeFrom="margin">
            <wp:posOffset>4070350</wp:posOffset>
          </wp:positionH>
          <wp:positionV relativeFrom="margin">
            <wp:posOffset>-836295</wp:posOffset>
          </wp:positionV>
          <wp:extent cx="1714500" cy="666750"/>
          <wp:effectExtent l="0" t="0" r="0" b="0"/>
          <wp:wrapSquare wrapText="bothSides"/>
          <wp:docPr id="30" name="Picture 30"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ofia-landscape-RGB.jpg"/>
                  <pic:cNvPicPr/>
                </pic:nvPicPr>
                <pic:blipFill>
                  <a:blip r:embed="rId1">
                    <a:extLst>
                      <a:ext uri="{28A0092B-C50C-407E-A947-70E740481C1C}">
                        <a14:useLocalDpi xmlns:a14="http://schemas.microsoft.com/office/drawing/2010/main" val="0"/>
                      </a:ext>
                    </a:extLst>
                  </a:blip>
                  <a:stretch>
                    <a:fillRect/>
                  </a:stretch>
                </pic:blipFill>
                <pic:spPr>
                  <a:xfrm>
                    <a:off x="0" y="0"/>
                    <a:ext cx="1714500" cy="66675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9264" behindDoc="0" locked="0" layoutInCell="1" allowOverlap="1" wp14:anchorId="501AE561" wp14:editId="0D31233A">
          <wp:simplePos x="0" y="0"/>
          <wp:positionH relativeFrom="margin">
            <wp:posOffset>7779385</wp:posOffset>
          </wp:positionH>
          <wp:positionV relativeFrom="margin">
            <wp:posOffset>-747395</wp:posOffset>
          </wp:positionV>
          <wp:extent cx="1714500" cy="666750"/>
          <wp:effectExtent l="0" t="0" r="0" b="0"/>
          <wp:wrapSquare wrapText="bothSides"/>
          <wp:docPr id="35" name="Picture 35"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ofia-landscape-RGB.jpg"/>
                  <pic:cNvPicPr/>
                </pic:nvPicPr>
                <pic:blipFill>
                  <a:blip r:embed="rId1">
                    <a:extLst>
                      <a:ext uri="{28A0092B-C50C-407E-A947-70E740481C1C}">
                        <a14:useLocalDpi xmlns:a14="http://schemas.microsoft.com/office/drawing/2010/main" val="0"/>
                      </a:ext>
                    </a:extLst>
                  </a:blip>
                  <a:stretch>
                    <a:fillRect/>
                  </a:stretch>
                </pic:blipFill>
                <pic:spPr>
                  <a:xfrm>
                    <a:off x="0" y="0"/>
                    <a:ext cx="1714500" cy="666750"/>
                  </a:xfrm>
                  <a:prstGeom prst="rect">
                    <a:avLst/>
                  </a:prstGeom>
                </pic:spPr>
              </pic:pic>
            </a:graphicData>
          </a:graphic>
          <wp14:sizeRelH relativeFrom="margin">
            <wp14:pctWidth>0</wp14:pctWidth>
          </wp14:sizeRelH>
          <wp14:sizeRelV relativeFrom="margin">
            <wp14:pctHeight>0</wp14:pctHeight>
          </wp14:sizeRelV>
        </wp:anchor>
      </w:drawing>
    </w:r>
  </w:p>
  <w:p w14:paraId="5F6B9653" w14:textId="04EB9402" w:rsidR="002905DA" w:rsidRDefault="002905DA" w:rsidP="00B87F68">
    <w:pPr>
      <w:pStyle w:val="Header"/>
      <w:contextualSpacing/>
    </w:pPr>
  </w:p>
  <w:p w14:paraId="3D72D9FA" w14:textId="77777777" w:rsidR="002905DA" w:rsidRDefault="002905DA" w:rsidP="00B87F68">
    <w:pPr>
      <w:pStyle w:val="Header"/>
      <w:contextualSpacing/>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04B3D2" w14:textId="6A7441CD" w:rsidR="002905DA" w:rsidRDefault="002905DA" w:rsidP="00B87F68">
    <w:pPr>
      <w:pStyle w:val="Header"/>
      <w:contextualSpacing/>
    </w:pPr>
    <w:r>
      <w:rPr>
        <w:noProof/>
      </w:rPr>
      <w:drawing>
        <wp:anchor distT="0" distB="0" distL="114300" distR="114300" simplePos="0" relativeHeight="251669504" behindDoc="0" locked="0" layoutInCell="1" allowOverlap="1" wp14:anchorId="7AB55702" wp14:editId="090D3C21">
          <wp:simplePos x="0" y="0"/>
          <wp:positionH relativeFrom="margin">
            <wp:posOffset>7779385</wp:posOffset>
          </wp:positionH>
          <wp:positionV relativeFrom="margin">
            <wp:posOffset>-747395</wp:posOffset>
          </wp:positionV>
          <wp:extent cx="1714500" cy="666750"/>
          <wp:effectExtent l="0" t="0" r="0" b="0"/>
          <wp:wrapSquare wrapText="bothSides"/>
          <wp:docPr id="38" name="Picture 38"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ofia-landscape-RGB.jpg"/>
                  <pic:cNvPicPr/>
                </pic:nvPicPr>
                <pic:blipFill>
                  <a:blip r:embed="rId1">
                    <a:extLst>
                      <a:ext uri="{28A0092B-C50C-407E-A947-70E740481C1C}">
                        <a14:useLocalDpi xmlns:a14="http://schemas.microsoft.com/office/drawing/2010/main" val="0"/>
                      </a:ext>
                    </a:extLst>
                  </a:blip>
                  <a:stretch>
                    <a:fillRect/>
                  </a:stretch>
                </pic:blipFill>
                <pic:spPr>
                  <a:xfrm>
                    <a:off x="0" y="0"/>
                    <a:ext cx="1714500" cy="666750"/>
                  </a:xfrm>
                  <a:prstGeom prst="rect">
                    <a:avLst/>
                  </a:prstGeom>
                </pic:spPr>
              </pic:pic>
            </a:graphicData>
          </a:graphic>
          <wp14:sizeRelH relativeFrom="margin">
            <wp14:pctWidth>0</wp14:pctWidth>
          </wp14:sizeRelH>
          <wp14:sizeRelV relativeFrom="margin">
            <wp14:pctHeight>0</wp14:pctHeight>
          </wp14:sizeRelV>
        </wp:anchor>
      </w:drawing>
    </w:r>
  </w:p>
  <w:p w14:paraId="7E73846F" w14:textId="2F0F4D97" w:rsidR="002905DA" w:rsidRDefault="002905DA" w:rsidP="00B87F68">
    <w:pPr>
      <w:pStyle w:val="Header"/>
      <w:contextualSpacing/>
    </w:pPr>
  </w:p>
  <w:p w14:paraId="30AC8DFC" w14:textId="77777777" w:rsidR="002905DA" w:rsidRDefault="002905DA" w:rsidP="00B87F68">
    <w:pPr>
      <w:pStyle w:val="Header"/>
      <w:contextualSpacing/>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BA7AC2" w14:textId="77777777" w:rsidR="002905DA" w:rsidRDefault="002905DA" w:rsidP="00B87F68">
    <w:pPr>
      <w:pStyle w:val="Header"/>
      <w:contextualSpacing/>
    </w:pPr>
    <w:r>
      <w:rPr>
        <w:noProof/>
      </w:rPr>
      <w:drawing>
        <wp:anchor distT="0" distB="0" distL="114300" distR="114300" simplePos="0" relativeHeight="251674624" behindDoc="0" locked="0" layoutInCell="1" allowOverlap="1" wp14:anchorId="43AAA6D3" wp14:editId="0DB2CEB7">
          <wp:simplePos x="0" y="0"/>
          <wp:positionH relativeFrom="margin">
            <wp:posOffset>4178300</wp:posOffset>
          </wp:positionH>
          <wp:positionV relativeFrom="topMargin">
            <wp:align>bottom</wp:align>
          </wp:positionV>
          <wp:extent cx="1714500" cy="666750"/>
          <wp:effectExtent l="0" t="0" r="0" b="0"/>
          <wp:wrapSquare wrapText="bothSides"/>
          <wp:docPr id="41" name="Picture 41"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ofia-landscape-RGB.jpg"/>
                  <pic:cNvPicPr/>
                </pic:nvPicPr>
                <pic:blipFill>
                  <a:blip r:embed="rId1">
                    <a:extLst>
                      <a:ext uri="{28A0092B-C50C-407E-A947-70E740481C1C}">
                        <a14:useLocalDpi xmlns:a14="http://schemas.microsoft.com/office/drawing/2010/main" val="0"/>
                      </a:ext>
                    </a:extLst>
                  </a:blip>
                  <a:stretch>
                    <a:fillRect/>
                  </a:stretch>
                </pic:blipFill>
                <pic:spPr>
                  <a:xfrm>
                    <a:off x="0" y="0"/>
                    <a:ext cx="1714500" cy="66675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73600" behindDoc="0" locked="0" layoutInCell="1" allowOverlap="1" wp14:anchorId="0D1D1061" wp14:editId="2F0A055F">
          <wp:simplePos x="0" y="0"/>
          <wp:positionH relativeFrom="margin">
            <wp:posOffset>7779385</wp:posOffset>
          </wp:positionH>
          <wp:positionV relativeFrom="margin">
            <wp:posOffset>-747395</wp:posOffset>
          </wp:positionV>
          <wp:extent cx="1714500" cy="666750"/>
          <wp:effectExtent l="0" t="0" r="0" b="0"/>
          <wp:wrapSquare wrapText="bothSides"/>
          <wp:docPr id="42" name="Picture 42"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ofia-landscape-RGB.jpg"/>
                  <pic:cNvPicPr/>
                </pic:nvPicPr>
                <pic:blipFill>
                  <a:blip r:embed="rId1">
                    <a:extLst>
                      <a:ext uri="{28A0092B-C50C-407E-A947-70E740481C1C}">
                        <a14:useLocalDpi xmlns:a14="http://schemas.microsoft.com/office/drawing/2010/main" val="0"/>
                      </a:ext>
                    </a:extLst>
                  </a:blip>
                  <a:stretch>
                    <a:fillRect/>
                  </a:stretch>
                </pic:blipFill>
                <pic:spPr>
                  <a:xfrm>
                    <a:off x="0" y="0"/>
                    <a:ext cx="1714500" cy="666750"/>
                  </a:xfrm>
                  <a:prstGeom prst="rect">
                    <a:avLst/>
                  </a:prstGeom>
                </pic:spPr>
              </pic:pic>
            </a:graphicData>
          </a:graphic>
          <wp14:sizeRelH relativeFrom="margin">
            <wp14:pctWidth>0</wp14:pctWidth>
          </wp14:sizeRelH>
          <wp14:sizeRelV relativeFrom="margin">
            <wp14:pctHeight>0</wp14:pctHeight>
          </wp14:sizeRelV>
        </wp:anchor>
      </w:drawing>
    </w:r>
  </w:p>
  <w:p w14:paraId="110451F3" w14:textId="77777777" w:rsidR="002905DA" w:rsidRDefault="002905DA" w:rsidP="00B87F68">
    <w:pPr>
      <w:pStyle w:val="Header"/>
      <w:contextualSpacing/>
    </w:pPr>
  </w:p>
  <w:p w14:paraId="6DC89936" w14:textId="77777777" w:rsidR="002905DA" w:rsidRDefault="002905DA" w:rsidP="00B87F68">
    <w:pPr>
      <w:pStyle w:val="Header"/>
      <w:contextualSpacing/>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03C906" w14:textId="3A380D38" w:rsidR="002905DA" w:rsidRDefault="002905DA" w:rsidP="00B87F68">
    <w:pPr>
      <w:pStyle w:val="Header"/>
      <w:contextualSpacing/>
    </w:pPr>
    <w:r>
      <w:rPr>
        <w:noProof/>
      </w:rPr>
      <w:drawing>
        <wp:anchor distT="0" distB="0" distL="114300" distR="114300" simplePos="0" relativeHeight="251676672" behindDoc="0" locked="0" layoutInCell="1" allowOverlap="1" wp14:anchorId="29219B76" wp14:editId="62898408">
          <wp:simplePos x="0" y="0"/>
          <wp:positionH relativeFrom="margin">
            <wp:posOffset>7779385</wp:posOffset>
          </wp:positionH>
          <wp:positionV relativeFrom="margin">
            <wp:posOffset>-747395</wp:posOffset>
          </wp:positionV>
          <wp:extent cx="1714500" cy="666750"/>
          <wp:effectExtent l="0" t="0" r="0" b="0"/>
          <wp:wrapSquare wrapText="bothSides"/>
          <wp:docPr id="44" name="Picture 44"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ofia-landscape-RGB.jpg"/>
                  <pic:cNvPicPr/>
                </pic:nvPicPr>
                <pic:blipFill>
                  <a:blip r:embed="rId1">
                    <a:extLst>
                      <a:ext uri="{28A0092B-C50C-407E-A947-70E740481C1C}">
                        <a14:useLocalDpi xmlns:a14="http://schemas.microsoft.com/office/drawing/2010/main" val="0"/>
                      </a:ext>
                    </a:extLst>
                  </a:blip>
                  <a:stretch>
                    <a:fillRect/>
                  </a:stretch>
                </pic:blipFill>
                <pic:spPr>
                  <a:xfrm>
                    <a:off x="0" y="0"/>
                    <a:ext cx="1714500" cy="666750"/>
                  </a:xfrm>
                  <a:prstGeom prst="rect">
                    <a:avLst/>
                  </a:prstGeom>
                </pic:spPr>
              </pic:pic>
            </a:graphicData>
          </a:graphic>
          <wp14:sizeRelH relativeFrom="margin">
            <wp14:pctWidth>0</wp14:pctWidth>
          </wp14:sizeRelH>
          <wp14:sizeRelV relativeFrom="margin">
            <wp14:pctHeight>0</wp14:pctHeight>
          </wp14:sizeRelV>
        </wp:anchor>
      </w:drawing>
    </w:r>
  </w:p>
  <w:p w14:paraId="1243B00B" w14:textId="77777777" w:rsidR="002905DA" w:rsidRDefault="002905DA" w:rsidP="00B87F68">
    <w:pPr>
      <w:pStyle w:val="Header"/>
      <w:contextualSpacing/>
    </w:pPr>
  </w:p>
  <w:p w14:paraId="49C546B3" w14:textId="7D93EA32" w:rsidR="002905DA" w:rsidRDefault="002905DA" w:rsidP="00B87F68">
    <w:pPr>
      <w:pStyle w:val="Header"/>
      <w:contextualSpacing/>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6CA072" w14:textId="135FF011" w:rsidR="002905DA" w:rsidRDefault="002905DA" w:rsidP="00B87F68">
    <w:pPr>
      <w:pStyle w:val="Header"/>
      <w:contextualSpacing/>
    </w:pPr>
    <w:r>
      <w:rPr>
        <w:noProof/>
      </w:rPr>
      <w:drawing>
        <wp:anchor distT="0" distB="0" distL="114300" distR="114300" simplePos="0" relativeHeight="251680768" behindDoc="0" locked="0" layoutInCell="1" allowOverlap="1" wp14:anchorId="2A2BC49D" wp14:editId="312B4D11">
          <wp:simplePos x="0" y="0"/>
          <wp:positionH relativeFrom="margin">
            <wp:posOffset>4362450</wp:posOffset>
          </wp:positionH>
          <wp:positionV relativeFrom="topMargin">
            <wp:align>bottom</wp:align>
          </wp:positionV>
          <wp:extent cx="1714500" cy="666750"/>
          <wp:effectExtent l="0" t="0" r="0" b="0"/>
          <wp:wrapSquare wrapText="bothSides"/>
          <wp:docPr id="46" name="Picture 46"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ofia-landscape-RGB.jpg"/>
                  <pic:cNvPicPr/>
                </pic:nvPicPr>
                <pic:blipFill>
                  <a:blip r:embed="rId1">
                    <a:extLst>
                      <a:ext uri="{28A0092B-C50C-407E-A947-70E740481C1C}">
                        <a14:useLocalDpi xmlns:a14="http://schemas.microsoft.com/office/drawing/2010/main" val="0"/>
                      </a:ext>
                    </a:extLst>
                  </a:blip>
                  <a:stretch>
                    <a:fillRect/>
                  </a:stretch>
                </pic:blipFill>
                <pic:spPr>
                  <a:xfrm>
                    <a:off x="0" y="0"/>
                    <a:ext cx="1714500" cy="66675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78720" behindDoc="0" locked="0" layoutInCell="1" allowOverlap="1" wp14:anchorId="358FD676" wp14:editId="7D89EDFD">
          <wp:simplePos x="0" y="0"/>
          <wp:positionH relativeFrom="margin">
            <wp:posOffset>7779385</wp:posOffset>
          </wp:positionH>
          <wp:positionV relativeFrom="margin">
            <wp:posOffset>-747395</wp:posOffset>
          </wp:positionV>
          <wp:extent cx="1714500" cy="666750"/>
          <wp:effectExtent l="0" t="0" r="0" b="0"/>
          <wp:wrapSquare wrapText="bothSides"/>
          <wp:docPr id="45" name="Picture 45"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ofia-landscape-RGB.jpg"/>
                  <pic:cNvPicPr/>
                </pic:nvPicPr>
                <pic:blipFill>
                  <a:blip r:embed="rId1">
                    <a:extLst>
                      <a:ext uri="{28A0092B-C50C-407E-A947-70E740481C1C}">
                        <a14:useLocalDpi xmlns:a14="http://schemas.microsoft.com/office/drawing/2010/main" val="0"/>
                      </a:ext>
                    </a:extLst>
                  </a:blip>
                  <a:stretch>
                    <a:fillRect/>
                  </a:stretch>
                </pic:blipFill>
                <pic:spPr>
                  <a:xfrm>
                    <a:off x="0" y="0"/>
                    <a:ext cx="1714500" cy="666750"/>
                  </a:xfrm>
                  <a:prstGeom prst="rect">
                    <a:avLst/>
                  </a:prstGeom>
                </pic:spPr>
              </pic:pic>
            </a:graphicData>
          </a:graphic>
          <wp14:sizeRelH relativeFrom="margin">
            <wp14:pctWidth>0</wp14:pctWidth>
          </wp14:sizeRelH>
          <wp14:sizeRelV relativeFrom="margin">
            <wp14:pctHeight>0</wp14:pctHeight>
          </wp14:sizeRelV>
        </wp:anchor>
      </w:drawing>
    </w:r>
  </w:p>
  <w:p w14:paraId="3E53EFA3" w14:textId="3EE404CC" w:rsidR="002905DA" w:rsidRDefault="002905DA" w:rsidP="00B87F68">
    <w:pPr>
      <w:pStyle w:val="Header"/>
      <w:contextualSpacing/>
    </w:pPr>
  </w:p>
  <w:p w14:paraId="351D0684" w14:textId="77777777" w:rsidR="002905DA" w:rsidRDefault="002905DA" w:rsidP="00B87F68">
    <w:pPr>
      <w:pStyle w:val="Header"/>
      <w:contextualSpacing/>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1D384E" w14:textId="32254B94" w:rsidR="002905DA" w:rsidRDefault="002905DA" w:rsidP="00B87F68">
    <w:pPr>
      <w:pStyle w:val="Header"/>
      <w:contextualSpacing/>
    </w:pPr>
    <w:r>
      <w:rPr>
        <w:noProof/>
      </w:rPr>
      <w:drawing>
        <wp:anchor distT="0" distB="0" distL="114300" distR="114300" simplePos="0" relativeHeight="251682816" behindDoc="0" locked="0" layoutInCell="1" allowOverlap="1" wp14:anchorId="3D69B074" wp14:editId="5BD148B4">
          <wp:simplePos x="0" y="0"/>
          <wp:positionH relativeFrom="margin">
            <wp:posOffset>7779385</wp:posOffset>
          </wp:positionH>
          <wp:positionV relativeFrom="margin">
            <wp:posOffset>-747395</wp:posOffset>
          </wp:positionV>
          <wp:extent cx="1714500" cy="666750"/>
          <wp:effectExtent l="0" t="0" r="0" b="0"/>
          <wp:wrapSquare wrapText="bothSides"/>
          <wp:docPr id="48" name="Picture 48"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ofia-landscape-RGB.jpg"/>
                  <pic:cNvPicPr/>
                </pic:nvPicPr>
                <pic:blipFill>
                  <a:blip r:embed="rId1">
                    <a:extLst>
                      <a:ext uri="{28A0092B-C50C-407E-A947-70E740481C1C}">
                        <a14:useLocalDpi xmlns:a14="http://schemas.microsoft.com/office/drawing/2010/main" val="0"/>
                      </a:ext>
                    </a:extLst>
                  </a:blip>
                  <a:stretch>
                    <a:fillRect/>
                  </a:stretch>
                </pic:blipFill>
                <pic:spPr>
                  <a:xfrm>
                    <a:off x="0" y="0"/>
                    <a:ext cx="1714500" cy="666750"/>
                  </a:xfrm>
                  <a:prstGeom prst="rect">
                    <a:avLst/>
                  </a:prstGeom>
                </pic:spPr>
              </pic:pic>
            </a:graphicData>
          </a:graphic>
          <wp14:sizeRelH relativeFrom="margin">
            <wp14:pctWidth>0</wp14:pctWidth>
          </wp14:sizeRelH>
          <wp14:sizeRelV relativeFrom="margin">
            <wp14:pctHeight>0</wp14:pctHeight>
          </wp14:sizeRelV>
        </wp:anchor>
      </w:drawing>
    </w:r>
  </w:p>
  <w:p w14:paraId="2405D12B" w14:textId="77777777" w:rsidR="002905DA" w:rsidRDefault="002905DA" w:rsidP="00B87F68">
    <w:pPr>
      <w:pStyle w:val="Header"/>
      <w:contextualSpacing/>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FFA6DB" w14:textId="3D307B4B" w:rsidR="002905DA" w:rsidRDefault="002905DA" w:rsidP="00B87F68">
    <w:pPr>
      <w:pStyle w:val="Header"/>
      <w:contextualSpacing/>
    </w:pPr>
    <w:r>
      <w:rPr>
        <w:noProof/>
      </w:rPr>
      <w:drawing>
        <wp:anchor distT="0" distB="0" distL="114300" distR="114300" simplePos="0" relativeHeight="251686912" behindDoc="0" locked="0" layoutInCell="1" allowOverlap="1" wp14:anchorId="07F6C9D6" wp14:editId="72457FC6">
          <wp:simplePos x="0" y="0"/>
          <wp:positionH relativeFrom="margin">
            <wp:posOffset>4286250</wp:posOffset>
          </wp:positionH>
          <wp:positionV relativeFrom="topMargin">
            <wp:align>bottom</wp:align>
          </wp:positionV>
          <wp:extent cx="1714500" cy="666750"/>
          <wp:effectExtent l="0" t="0" r="0" b="0"/>
          <wp:wrapSquare wrapText="bothSides"/>
          <wp:docPr id="47" name="Picture 47"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ofia-landscape-RGB.jpg"/>
                  <pic:cNvPicPr/>
                </pic:nvPicPr>
                <pic:blipFill>
                  <a:blip r:embed="rId1">
                    <a:extLst>
                      <a:ext uri="{28A0092B-C50C-407E-A947-70E740481C1C}">
                        <a14:useLocalDpi xmlns:a14="http://schemas.microsoft.com/office/drawing/2010/main" val="0"/>
                      </a:ext>
                    </a:extLst>
                  </a:blip>
                  <a:stretch>
                    <a:fillRect/>
                  </a:stretch>
                </pic:blipFill>
                <pic:spPr>
                  <a:xfrm>
                    <a:off x="0" y="0"/>
                    <a:ext cx="1714500" cy="66675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84864" behindDoc="0" locked="0" layoutInCell="1" allowOverlap="1" wp14:anchorId="05D49C42" wp14:editId="487B4C72">
          <wp:simplePos x="0" y="0"/>
          <wp:positionH relativeFrom="margin">
            <wp:posOffset>7779385</wp:posOffset>
          </wp:positionH>
          <wp:positionV relativeFrom="margin">
            <wp:posOffset>-747395</wp:posOffset>
          </wp:positionV>
          <wp:extent cx="1714500" cy="666750"/>
          <wp:effectExtent l="0" t="0" r="0" b="0"/>
          <wp:wrapSquare wrapText="bothSides"/>
          <wp:docPr id="51" name="Picture 51"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ofia-landscape-RGB.jpg"/>
                  <pic:cNvPicPr/>
                </pic:nvPicPr>
                <pic:blipFill>
                  <a:blip r:embed="rId1">
                    <a:extLst>
                      <a:ext uri="{28A0092B-C50C-407E-A947-70E740481C1C}">
                        <a14:useLocalDpi xmlns:a14="http://schemas.microsoft.com/office/drawing/2010/main" val="0"/>
                      </a:ext>
                    </a:extLst>
                  </a:blip>
                  <a:stretch>
                    <a:fillRect/>
                  </a:stretch>
                </pic:blipFill>
                <pic:spPr>
                  <a:xfrm>
                    <a:off x="0" y="0"/>
                    <a:ext cx="1714500" cy="666750"/>
                  </a:xfrm>
                  <a:prstGeom prst="rect">
                    <a:avLst/>
                  </a:prstGeom>
                </pic:spPr>
              </pic:pic>
            </a:graphicData>
          </a:graphic>
          <wp14:sizeRelH relativeFrom="margin">
            <wp14:pctWidth>0</wp14:pctWidth>
          </wp14:sizeRelH>
          <wp14:sizeRelV relativeFrom="margin">
            <wp14:pctHeight>0</wp14:pctHeight>
          </wp14:sizeRelV>
        </wp:anchor>
      </w:drawing>
    </w:r>
  </w:p>
  <w:p w14:paraId="55B11738" w14:textId="77777777" w:rsidR="002905DA" w:rsidRDefault="002905DA" w:rsidP="00B87F68">
    <w:pPr>
      <w:pStyle w:val="Header"/>
      <w:contextualSpacing/>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F87CB2" w14:textId="17E62685" w:rsidR="002905DA" w:rsidRDefault="002905DA" w:rsidP="00B87F68">
    <w:pPr>
      <w:pStyle w:val="Header"/>
      <w:contextualSpacing/>
    </w:pPr>
    <w:r>
      <w:rPr>
        <w:noProof/>
      </w:rPr>
      <w:drawing>
        <wp:anchor distT="0" distB="0" distL="114300" distR="114300" simplePos="0" relativeHeight="251693056" behindDoc="0" locked="0" layoutInCell="1" allowOverlap="1" wp14:anchorId="73606E11" wp14:editId="55B59D64">
          <wp:simplePos x="0" y="0"/>
          <wp:positionH relativeFrom="margin">
            <wp:align>right</wp:align>
          </wp:positionH>
          <wp:positionV relativeFrom="topMargin">
            <wp:align>bottom</wp:align>
          </wp:positionV>
          <wp:extent cx="1714500" cy="666750"/>
          <wp:effectExtent l="0" t="0" r="0" b="0"/>
          <wp:wrapSquare wrapText="bothSides"/>
          <wp:docPr id="55" name="Picture 55"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ofia-landscape-RGB.jpg"/>
                  <pic:cNvPicPr/>
                </pic:nvPicPr>
                <pic:blipFill>
                  <a:blip r:embed="rId1">
                    <a:extLst>
                      <a:ext uri="{28A0092B-C50C-407E-A947-70E740481C1C}">
                        <a14:useLocalDpi xmlns:a14="http://schemas.microsoft.com/office/drawing/2010/main" val="0"/>
                      </a:ext>
                    </a:extLst>
                  </a:blip>
                  <a:stretch>
                    <a:fillRect/>
                  </a:stretch>
                </pic:blipFill>
                <pic:spPr>
                  <a:xfrm>
                    <a:off x="0" y="0"/>
                    <a:ext cx="1714500" cy="66675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91008" behindDoc="0" locked="0" layoutInCell="1" allowOverlap="1" wp14:anchorId="1DF1BF7C" wp14:editId="5E4BAAD9">
          <wp:simplePos x="0" y="0"/>
          <wp:positionH relativeFrom="margin">
            <wp:posOffset>7779385</wp:posOffset>
          </wp:positionH>
          <wp:positionV relativeFrom="margin">
            <wp:posOffset>-747395</wp:posOffset>
          </wp:positionV>
          <wp:extent cx="1714500" cy="666750"/>
          <wp:effectExtent l="0" t="0" r="0" b="0"/>
          <wp:wrapSquare wrapText="bothSides"/>
          <wp:docPr id="54" name="Picture 54"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ofia-landscape-RGB.jpg"/>
                  <pic:cNvPicPr/>
                </pic:nvPicPr>
                <pic:blipFill>
                  <a:blip r:embed="rId1">
                    <a:extLst>
                      <a:ext uri="{28A0092B-C50C-407E-A947-70E740481C1C}">
                        <a14:useLocalDpi xmlns:a14="http://schemas.microsoft.com/office/drawing/2010/main" val="0"/>
                      </a:ext>
                    </a:extLst>
                  </a:blip>
                  <a:stretch>
                    <a:fillRect/>
                  </a:stretch>
                </pic:blipFill>
                <pic:spPr>
                  <a:xfrm>
                    <a:off x="0" y="0"/>
                    <a:ext cx="1714500" cy="666750"/>
                  </a:xfrm>
                  <a:prstGeom prst="rect">
                    <a:avLst/>
                  </a:prstGeom>
                </pic:spPr>
              </pic:pic>
            </a:graphicData>
          </a:graphic>
          <wp14:sizeRelH relativeFrom="margin">
            <wp14:pctWidth>0</wp14:pctWidth>
          </wp14:sizeRelH>
          <wp14:sizeRelV relativeFrom="margin">
            <wp14:pctHeight>0</wp14:pctHeight>
          </wp14:sizeRelV>
        </wp:anchor>
      </w:drawing>
    </w:r>
  </w:p>
  <w:p w14:paraId="1CD4774E" w14:textId="77777777" w:rsidR="002905DA" w:rsidRDefault="002905DA" w:rsidP="00B87F68">
    <w:pPr>
      <w:pStyle w:val="Header"/>
      <w:contextualSpacing/>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0126A5" w14:textId="475D79A3" w:rsidR="002905DA" w:rsidRDefault="002905DA" w:rsidP="00B87F68">
    <w:pPr>
      <w:pStyle w:val="Header"/>
      <w:contextualSpacing/>
    </w:pPr>
    <w:r>
      <w:rPr>
        <w:noProof/>
      </w:rPr>
      <w:drawing>
        <wp:anchor distT="0" distB="0" distL="114300" distR="114300" simplePos="0" relativeHeight="251696128" behindDoc="0" locked="0" layoutInCell="1" allowOverlap="1" wp14:anchorId="7CFED4B4" wp14:editId="5732FFEA">
          <wp:simplePos x="0" y="0"/>
          <wp:positionH relativeFrom="margin">
            <wp:align>right</wp:align>
          </wp:positionH>
          <wp:positionV relativeFrom="topMargin">
            <wp:align>bottom</wp:align>
          </wp:positionV>
          <wp:extent cx="1714500" cy="666750"/>
          <wp:effectExtent l="0" t="0" r="0" b="0"/>
          <wp:wrapSquare wrapText="bothSides"/>
          <wp:docPr id="56" name="Picture 56"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ofia-landscape-RGB.jpg"/>
                  <pic:cNvPicPr/>
                </pic:nvPicPr>
                <pic:blipFill>
                  <a:blip r:embed="rId1">
                    <a:extLst>
                      <a:ext uri="{28A0092B-C50C-407E-A947-70E740481C1C}">
                        <a14:useLocalDpi xmlns:a14="http://schemas.microsoft.com/office/drawing/2010/main" val="0"/>
                      </a:ext>
                    </a:extLst>
                  </a:blip>
                  <a:stretch>
                    <a:fillRect/>
                  </a:stretch>
                </pic:blipFill>
                <pic:spPr>
                  <a:xfrm>
                    <a:off x="0" y="0"/>
                    <a:ext cx="1714500" cy="666750"/>
                  </a:xfrm>
                  <a:prstGeom prst="rect">
                    <a:avLst/>
                  </a:prstGeom>
                </pic:spPr>
              </pic:pic>
            </a:graphicData>
          </a:graphic>
          <wp14:sizeRelH relativeFrom="margin">
            <wp14:pctWidth>0</wp14:pctWidth>
          </wp14:sizeRelH>
          <wp14:sizeRelV relativeFrom="margin">
            <wp14:pctHeight>0</wp14:pctHeight>
          </wp14:sizeRelV>
        </wp:anchor>
      </w:drawing>
    </w:r>
  </w:p>
  <w:p w14:paraId="54347F27" w14:textId="77777777" w:rsidR="002905DA" w:rsidRDefault="002905DA" w:rsidP="00B87F68">
    <w:pPr>
      <w:pStyle w:val="Header"/>
      <w:contextualSpacing/>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A6D6A5" w14:textId="77777777" w:rsidR="002905DA" w:rsidRDefault="002905DA" w:rsidP="00B87F68">
    <w:pPr>
      <w:pStyle w:val="Header"/>
      <w:contextualSpacing/>
    </w:pPr>
  </w:p>
  <w:p w14:paraId="47854B69" w14:textId="77777777" w:rsidR="002905DA" w:rsidRDefault="002905DA" w:rsidP="00B87F68">
    <w:pPr>
      <w:pStyle w:val="Header"/>
      <w:contextualSpacing/>
    </w:pPr>
  </w:p>
  <w:p w14:paraId="5FAAE252" w14:textId="77777777" w:rsidR="002905DA" w:rsidRDefault="002905DA" w:rsidP="00B87F68">
    <w:pPr>
      <w:pStyle w:val="Header"/>
      <w:contextualSpacing/>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w14:anchorId="0F994DB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39.05pt;height:336.05pt" o:bullet="t">
        <v:imagedata r:id="rId1" o:title="Bullet"/>
      </v:shape>
    </w:pict>
  </w:numPicBullet>
  <w:abstractNum w:abstractNumId="0" w15:restartNumberingAfterBreak="0">
    <w:nsid w:val="FFFFFF88"/>
    <w:multiLevelType w:val="singleLevel"/>
    <w:tmpl w:val="84264DDC"/>
    <w:lvl w:ilvl="0">
      <w:start w:val="1"/>
      <w:numFmt w:val="decimal"/>
      <w:pStyle w:val="ListNumber"/>
      <w:lvlText w:val="%1."/>
      <w:lvlJc w:val="left"/>
      <w:pPr>
        <w:tabs>
          <w:tab w:val="num" w:pos="360"/>
        </w:tabs>
        <w:ind w:left="360" w:hanging="360"/>
      </w:pPr>
    </w:lvl>
  </w:abstractNum>
  <w:abstractNum w:abstractNumId="1" w15:restartNumberingAfterBreak="0">
    <w:nsid w:val="0B4F1123"/>
    <w:multiLevelType w:val="multilevel"/>
    <w:tmpl w:val="419C5760"/>
    <w:lvl w:ilvl="0">
      <w:start w:val="1"/>
      <w:numFmt w:val="decimal"/>
      <w:lvlText w:val="%1"/>
      <w:lvlJc w:val="left"/>
      <w:pPr>
        <w:ind w:left="360" w:hanging="360"/>
      </w:pPr>
      <w:rPr>
        <w:rFonts w:hint="default"/>
      </w:rPr>
    </w:lvl>
    <w:lvl w:ilvl="1">
      <w:start w:val="1"/>
      <w:numFmt w:val="bullet"/>
      <w:lvlText w:val=""/>
      <w:lvlJc w:val="left"/>
      <w:pPr>
        <w:ind w:left="479" w:hanging="360"/>
      </w:pPr>
      <w:rPr>
        <w:rFonts w:ascii="Symbol" w:hAnsi="Symbol" w:hint="default"/>
      </w:rPr>
    </w:lvl>
    <w:lvl w:ilvl="2">
      <w:start w:val="1"/>
      <w:numFmt w:val="decimal"/>
      <w:lvlText w:val="%1.%2.%3"/>
      <w:lvlJc w:val="left"/>
      <w:pPr>
        <w:ind w:left="958" w:hanging="720"/>
      </w:pPr>
      <w:rPr>
        <w:rFonts w:hint="default"/>
      </w:rPr>
    </w:lvl>
    <w:lvl w:ilvl="3">
      <w:start w:val="1"/>
      <w:numFmt w:val="decimal"/>
      <w:lvlText w:val="%1.%2.%3.%4"/>
      <w:lvlJc w:val="left"/>
      <w:pPr>
        <w:ind w:left="1077" w:hanging="720"/>
      </w:pPr>
      <w:rPr>
        <w:rFonts w:hint="default"/>
      </w:rPr>
    </w:lvl>
    <w:lvl w:ilvl="4">
      <w:start w:val="1"/>
      <w:numFmt w:val="decimal"/>
      <w:lvlText w:val="%1.%2.%3.%4.%5"/>
      <w:lvlJc w:val="left"/>
      <w:pPr>
        <w:ind w:left="1556" w:hanging="1080"/>
      </w:pPr>
      <w:rPr>
        <w:rFonts w:hint="default"/>
      </w:rPr>
    </w:lvl>
    <w:lvl w:ilvl="5">
      <w:start w:val="1"/>
      <w:numFmt w:val="decimal"/>
      <w:lvlText w:val="%1.%2.%3.%4.%5.%6"/>
      <w:lvlJc w:val="left"/>
      <w:pPr>
        <w:ind w:left="1675" w:hanging="1080"/>
      </w:pPr>
      <w:rPr>
        <w:rFonts w:hint="default"/>
      </w:rPr>
    </w:lvl>
    <w:lvl w:ilvl="6">
      <w:start w:val="1"/>
      <w:numFmt w:val="decimal"/>
      <w:lvlText w:val="%1.%2.%3.%4.%5.%6.%7"/>
      <w:lvlJc w:val="left"/>
      <w:pPr>
        <w:ind w:left="1794" w:hanging="1080"/>
      </w:pPr>
      <w:rPr>
        <w:rFonts w:hint="default"/>
      </w:rPr>
    </w:lvl>
    <w:lvl w:ilvl="7">
      <w:start w:val="1"/>
      <w:numFmt w:val="decimal"/>
      <w:lvlText w:val="%1.%2.%3.%4.%5.%6.%7.%8"/>
      <w:lvlJc w:val="left"/>
      <w:pPr>
        <w:ind w:left="2273" w:hanging="1440"/>
      </w:pPr>
      <w:rPr>
        <w:rFonts w:hint="default"/>
      </w:rPr>
    </w:lvl>
    <w:lvl w:ilvl="8">
      <w:start w:val="1"/>
      <w:numFmt w:val="decimal"/>
      <w:lvlText w:val="%1.%2.%3.%4.%5.%6.%7.%8.%9"/>
      <w:lvlJc w:val="left"/>
      <w:pPr>
        <w:ind w:left="2392" w:hanging="1440"/>
      </w:pPr>
      <w:rPr>
        <w:rFonts w:hint="default"/>
      </w:rPr>
    </w:lvl>
  </w:abstractNum>
  <w:abstractNum w:abstractNumId="2" w15:restartNumberingAfterBreak="0">
    <w:nsid w:val="0F8875C6"/>
    <w:multiLevelType w:val="hybridMultilevel"/>
    <w:tmpl w:val="194C024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12933F9F"/>
    <w:multiLevelType w:val="hybridMultilevel"/>
    <w:tmpl w:val="680632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5772BD6"/>
    <w:multiLevelType w:val="hybridMultilevel"/>
    <w:tmpl w:val="B67E6D9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6BC6343"/>
    <w:multiLevelType w:val="multilevel"/>
    <w:tmpl w:val="0DDC0FDA"/>
    <w:styleLink w:val="SOWFLbullet"/>
    <w:lvl w:ilvl="0">
      <w:start w:val="1"/>
      <w:numFmt w:val="bullet"/>
      <w:lvlText w:val=""/>
      <w:lvlPicBulletId w:val="0"/>
      <w:lvlJc w:val="left"/>
      <w:pPr>
        <w:ind w:left="1800" w:hanging="360"/>
      </w:pPr>
      <w:rPr>
        <w:rFonts w:ascii="Symbol" w:hAnsi="Symbol" w:hint="default"/>
        <w:color w:val="auto"/>
        <w:sz w:val="20"/>
      </w:rPr>
    </w:lvl>
    <w:lvl w:ilvl="1">
      <w:start w:val="1"/>
      <w:numFmt w:val="bullet"/>
      <w:lvlText w:val=""/>
      <w:lvlJc w:val="left"/>
      <w:pPr>
        <w:ind w:left="2520" w:hanging="360"/>
      </w:pPr>
      <w:rPr>
        <w:rFonts w:ascii="Symbol" w:hAnsi="Symbol" w:cs="Courier New" w:hint="default"/>
        <w:color w:val="auto"/>
      </w:rPr>
    </w:lvl>
    <w:lvl w:ilvl="2">
      <w:start w:val="1"/>
      <w:numFmt w:val="bullet"/>
      <w:lvlText w:val=""/>
      <w:lvlJc w:val="left"/>
      <w:pPr>
        <w:ind w:left="3240" w:hanging="360"/>
      </w:pPr>
      <w:rPr>
        <w:rFonts w:ascii="Symbol" w:hAnsi="Symbol" w:hint="default"/>
      </w:rPr>
    </w:lvl>
    <w:lvl w:ilvl="3">
      <w:start w:val="1"/>
      <w:numFmt w:val="bullet"/>
      <w:lvlText w:val=""/>
      <w:lvlJc w:val="left"/>
      <w:pPr>
        <w:ind w:left="3960" w:hanging="360"/>
      </w:pPr>
      <w:rPr>
        <w:rFonts w:ascii="Symbol" w:hAnsi="Symbol" w:hint="default"/>
      </w:rPr>
    </w:lvl>
    <w:lvl w:ilvl="4">
      <w:start w:val="1"/>
      <w:numFmt w:val="bullet"/>
      <w:lvlText w:val="o"/>
      <w:lvlJc w:val="left"/>
      <w:pPr>
        <w:ind w:left="4680" w:hanging="360"/>
      </w:pPr>
      <w:rPr>
        <w:rFonts w:ascii="Courier New" w:hAnsi="Courier New" w:cs="Courier New" w:hint="default"/>
      </w:rPr>
    </w:lvl>
    <w:lvl w:ilvl="5">
      <w:start w:val="1"/>
      <w:numFmt w:val="bullet"/>
      <w:lvlText w:val=""/>
      <w:lvlJc w:val="left"/>
      <w:pPr>
        <w:ind w:left="5400" w:hanging="360"/>
      </w:pPr>
      <w:rPr>
        <w:rFonts w:ascii="Wingdings" w:hAnsi="Wingdings" w:hint="default"/>
      </w:rPr>
    </w:lvl>
    <w:lvl w:ilvl="6">
      <w:start w:val="1"/>
      <w:numFmt w:val="bullet"/>
      <w:lvlText w:val=""/>
      <w:lvlJc w:val="left"/>
      <w:pPr>
        <w:ind w:left="6120" w:hanging="360"/>
      </w:pPr>
      <w:rPr>
        <w:rFonts w:ascii="Symbol" w:hAnsi="Symbol" w:hint="default"/>
      </w:rPr>
    </w:lvl>
    <w:lvl w:ilvl="7">
      <w:start w:val="1"/>
      <w:numFmt w:val="bullet"/>
      <w:lvlText w:val="o"/>
      <w:lvlJc w:val="left"/>
      <w:pPr>
        <w:ind w:left="6840" w:hanging="360"/>
      </w:pPr>
      <w:rPr>
        <w:rFonts w:ascii="Courier New" w:hAnsi="Courier New" w:cs="Courier New" w:hint="default"/>
      </w:rPr>
    </w:lvl>
    <w:lvl w:ilvl="8">
      <w:start w:val="1"/>
      <w:numFmt w:val="bullet"/>
      <w:lvlText w:val=""/>
      <w:lvlJc w:val="left"/>
      <w:pPr>
        <w:ind w:left="7560" w:hanging="360"/>
      </w:pPr>
      <w:rPr>
        <w:rFonts w:ascii="Wingdings" w:hAnsi="Wingdings" w:hint="default"/>
      </w:rPr>
    </w:lvl>
  </w:abstractNum>
  <w:abstractNum w:abstractNumId="6" w15:restartNumberingAfterBreak="0">
    <w:nsid w:val="18257C51"/>
    <w:multiLevelType w:val="multilevel"/>
    <w:tmpl w:val="762A910A"/>
    <w:lvl w:ilvl="0">
      <w:start w:val="1"/>
      <w:numFmt w:val="decimal"/>
      <w:lvlText w:val="%1."/>
      <w:lvlJc w:val="left"/>
      <w:pPr>
        <w:ind w:left="578" w:hanging="578"/>
      </w:pPr>
      <w:rPr>
        <w:rFonts w:hint="default"/>
      </w:rPr>
    </w:lvl>
    <w:lvl w:ilvl="1">
      <w:start w:val="1"/>
      <w:numFmt w:val="decimal"/>
      <w:lvlText w:val="%1.%2."/>
      <w:lvlJc w:val="left"/>
      <w:pPr>
        <w:ind w:left="576" w:hanging="576"/>
      </w:pPr>
      <w:rPr>
        <w:rFonts w:hint="default"/>
      </w:rPr>
    </w:lvl>
    <w:lvl w:ilvl="2">
      <w:start w:val="1"/>
      <w:numFmt w:val="decimal"/>
      <w:lvlText w:val="%1.%2.%3."/>
      <w:lvlJc w:val="left"/>
      <w:pPr>
        <w:tabs>
          <w:tab w:val="num" w:pos="2411"/>
        </w:tabs>
        <w:ind w:left="1997" w:hanging="720"/>
      </w:pPr>
      <w:rPr>
        <w:rFonts w:hint="default"/>
        <w:lang w:val="en-GB"/>
      </w:rPr>
    </w:lvl>
    <w:lvl w:ilvl="3">
      <w:start w:val="1"/>
      <w:numFmt w:val="decimal"/>
      <w:lvlText w:val="%1.%2.%3.%4"/>
      <w:lvlJc w:val="left"/>
      <w:pPr>
        <w:ind w:left="864" w:hanging="864"/>
      </w:pPr>
      <w:rPr>
        <w:rFonts w:hint="default"/>
      </w:rPr>
    </w:lvl>
    <w:lvl w:ilvl="4">
      <w:start w:val="1"/>
      <w:numFmt w:val="none"/>
      <w:suff w:val="nothing"/>
      <w:lvlText w:val=""/>
      <w:lvlJc w:val="left"/>
      <w:pPr>
        <w:ind w:left="0" w:firstLine="0"/>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7" w15:restartNumberingAfterBreak="0">
    <w:nsid w:val="1C164031"/>
    <w:multiLevelType w:val="multilevel"/>
    <w:tmpl w:val="710E8182"/>
    <w:lvl w:ilvl="0">
      <w:start w:val="1"/>
      <w:numFmt w:val="decimal"/>
      <w:pStyle w:val="Heading1"/>
      <w:lvlText w:val="%1."/>
      <w:lvlJc w:val="left"/>
      <w:pPr>
        <w:ind w:left="357" w:hanging="357"/>
      </w:pPr>
      <w:rPr>
        <w:rFonts w:ascii="Arial" w:hAnsi="Arial" w:cs="Arial" w:hint="default"/>
        <w:i w:val="0"/>
        <w:iCs w:val="0"/>
      </w:rPr>
    </w:lvl>
    <w:lvl w:ilvl="1">
      <w:start w:val="1"/>
      <w:numFmt w:val="decimal"/>
      <w:pStyle w:val="Heading2"/>
      <w:lvlText w:val="%1.%2"/>
      <w:lvlJc w:val="left"/>
      <w:pPr>
        <w:ind w:left="714" w:hanging="357"/>
      </w:pPr>
      <w:rPr>
        <w:rFonts w:hint="default"/>
      </w:rPr>
    </w:lvl>
    <w:lvl w:ilvl="2">
      <w:start w:val="1"/>
      <w:numFmt w:val="decimal"/>
      <w:pStyle w:val="Reportbodytextnumbering"/>
      <w:lvlText w:val="%1.%2.%3"/>
      <w:lvlJc w:val="left"/>
      <w:pPr>
        <w:ind w:left="2694" w:firstLine="0"/>
      </w:pPr>
      <w:rPr>
        <w:rFonts w:hint="default"/>
      </w:rPr>
    </w:lvl>
    <w:lvl w:ilvl="3">
      <w:start w:val="1"/>
      <w:numFmt w:val="decimal"/>
      <w:lvlText w:val="%1.%2.%3.%4."/>
      <w:lvlJc w:val="left"/>
      <w:pPr>
        <w:ind w:left="1428" w:hanging="357"/>
      </w:pPr>
      <w:rPr>
        <w:rFonts w:hint="default"/>
      </w:rPr>
    </w:lvl>
    <w:lvl w:ilvl="4">
      <w:start w:val="1"/>
      <w:numFmt w:val="decimal"/>
      <w:lvlText w:val="%1.%2.%3.%4.%5."/>
      <w:lvlJc w:val="left"/>
      <w:pPr>
        <w:ind w:left="1785" w:hanging="357"/>
      </w:pPr>
      <w:rPr>
        <w:rFonts w:hint="default"/>
      </w:rPr>
    </w:lvl>
    <w:lvl w:ilvl="5">
      <w:start w:val="1"/>
      <w:numFmt w:val="decimal"/>
      <w:lvlText w:val="%1.%2.%3.%4.%5.%6."/>
      <w:lvlJc w:val="left"/>
      <w:pPr>
        <w:ind w:left="2142" w:hanging="357"/>
      </w:pPr>
      <w:rPr>
        <w:rFonts w:hint="default"/>
      </w:rPr>
    </w:lvl>
    <w:lvl w:ilvl="6">
      <w:start w:val="1"/>
      <w:numFmt w:val="decimal"/>
      <w:lvlText w:val="%1.%2.%3.%4.%5.%6.%7."/>
      <w:lvlJc w:val="left"/>
      <w:pPr>
        <w:ind w:left="2499" w:hanging="357"/>
      </w:pPr>
      <w:rPr>
        <w:rFonts w:hint="default"/>
      </w:rPr>
    </w:lvl>
    <w:lvl w:ilvl="7">
      <w:start w:val="1"/>
      <w:numFmt w:val="decimal"/>
      <w:lvlText w:val="%1.%2.%3.%4.%5.%6.%7.%8."/>
      <w:lvlJc w:val="left"/>
      <w:pPr>
        <w:ind w:left="2856" w:hanging="357"/>
      </w:pPr>
      <w:rPr>
        <w:rFonts w:hint="default"/>
      </w:rPr>
    </w:lvl>
    <w:lvl w:ilvl="8">
      <w:start w:val="1"/>
      <w:numFmt w:val="decimal"/>
      <w:lvlText w:val="%1.%2.%3.%4.%5.%6.%7.%8.%9."/>
      <w:lvlJc w:val="left"/>
      <w:pPr>
        <w:ind w:left="3213" w:hanging="357"/>
      </w:pPr>
      <w:rPr>
        <w:rFonts w:hint="default"/>
      </w:rPr>
    </w:lvl>
  </w:abstractNum>
  <w:abstractNum w:abstractNumId="8" w15:restartNumberingAfterBreak="0">
    <w:nsid w:val="1FF533B0"/>
    <w:multiLevelType w:val="hybridMultilevel"/>
    <w:tmpl w:val="68BA3160"/>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9" w15:restartNumberingAfterBreak="0">
    <w:nsid w:val="2269486B"/>
    <w:multiLevelType w:val="hybridMultilevel"/>
    <w:tmpl w:val="FB441CBA"/>
    <w:lvl w:ilvl="0" w:tplc="62D88DA8">
      <w:start w:val="4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74C3A09"/>
    <w:multiLevelType w:val="hybridMultilevel"/>
    <w:tmpl w:val="76E00380"/>
    <w:lvl w:ilvl="0" w:tplc="C1AC5790">
      <w:start w:val="1"/>
      <w:numFmt w:val="bullet"/>
      <w:lvlText w:val=""/>
      <w:lvlJc w:val="left"/>
      <w:pPr>
        <w:tabs>
          <w:tab w:val="num" w:pos="720"/>
        </w:tabs>
        <w:ind w:left="720" w:hanging="360"/>
      </w:pPr>
      <w:rPr>
        <w:rFonts w:ascii="Symbol" w:hAnsi="Symbol" w:hint="default"/>
      </w:rPr>
    </w:lvl>
    <w:lvl w:ilvl="1" w:tplc="B366F96A" w:tentative="1">
      <w:start w:val="1"/>
      <w:numFmt w:val="bullet"/>
      <w:lvlText w:val=""/>
      <w:lvlJc w:val="left"/>
      <w:pPr>
        <w:tabs>
          <w:tab w:val="num" w:pos="1440"/>
        </w:tabs>
        <w:ind w:left="1440" w:hanging="360"/>
      </w:pPr>
      <w:rPr>
        <w:rFonts w:ascii="Symbol" w:hAnsi="Symbol" w:hint="default"/>
      </w:rPr>
    </w:lvl>
    <w:lvl w:ilvl="2" w:tplc="149C11C8">
      <w:start w:val="1"/>
      <w:numFmt w:val="bullet"/>
      <w:lvlText w:val=""/>
      <w:lvlJc w:val="left"/>
      <w:pPr>
        <w:tabs>
          <w:tab w:val="num" w:pos="2160"/>
        </w:tabs>
        <w:ind w:left="2160" w:hanging="360"/>
      </w:pPr>
      <w:rPr>
        <w:rFonts w:ascii="Symbol" w:hAnsi="Symbol" w:hint="default"/>
      </w:rPr>
    </w:lvl>
    <w:lvl w:ilvl="3" w:tplc="860C1E0C" w:tentative="1">
      <w:start w:val="1"/>
      <w:numFmt w:val="bullet"/>
      <w:lvlText w:val=""/>
      <w:lvlJc w:val="left"/>
      <w:pPr>
        <w:tabs>
          <w:tab w:val="num" w:pos="2880"/>
        </w:tabs>
        <w:ind w:left="2880" w:hanging="360"/>
      </w:pPr>
      <w:rPr>
        <w:rFonts w:ascii="Symbol" w:hAnsi="Symbol" w:hint="default"/>
      </w:rPr>
    </w:lvl>
    <w:lvl w:ilvl="4" w:tplc="0BC023B8" w:tentative="1">
      <w:start w:val="1"/>
      <w:numFmt w:val="bullet"/>
      <w:lvlText w:val=""/>
      <w:lvlJc w:val="left"/>
      <w:pPr>
        <w:tabs>
          <w:tab w:val="num" w:pos="3600"/>
        </w:tabs>
        <w:ind w:left="3600" w:hanging="360"/>
      </w:pPr>
      <w:rPr>
        <w:rFonts w:ascii="Symbol" w:hAnsi="Symbol" w:hint="default"/>
      </w:rPr>
    </w:lvl>
    <w:lvl w:ilvl="5" w:tplc="92F0AAAC" w:tentative="1">
      <w:start w:val="1"/>
      <w:numFmt w:val="bullet"/>
      <w:lvlText w:val=""/>
      <w:lvlJc w:val="left"/>
      <w:pPr>
        <w:tabs>
          <w:tab w:val="num" w:pos="4320"/>
        </w:tabs>
        <w:ind w:left="4320" w:hanging="360"/>
      </w:pPr>
      <w:rPr>
        <w:rFonts w:ascii="Symbol" w:hAnsi="Symbol" w:hint="default"/>
      </w:rPr>
    </w:lvl>
    <w:lvl w:ilvl="6" w:tplc="F7EE2954" w:tentative="1">
      <w:start w:val="1"/>
      <w:numFmt w:val="bullet"/>
      <w:lvlText w:val=""/>
      <w:lvlJc w:val="left"/>
      <w:pPr>
        <w:tabs>
          <w:tab w:val="num" w:pos="5040"/>
        </w:tabs>
        <w:ind w:left="5040" w:hanging="360"/>
      </w:pPr>
      <w:rPr>
        <w:rFonts w:ascii="Symbol" w:hAnsi="Symbol" w:hint="default"/>
      </w:rPr>
    </w:lvl>
    <w:lvl w:ilvl="7" w:tplc="FDCC2364" w:tentative="1">
      <w:start w:val="1"/>
      <w:numFmt w:val="bullet"/>
      <w:lvlText w:val=""/>
      <w:lvlJc w:val="left"/>
      <w:pPr>
        <w:tabs>
          <w:tab w:val="num" w:pos="5760"/>
        </w:tabs>
        <w:ind w:left="5760" w:hanging="360"/>
      </w:pPr>
      <w:rPr>
        <w:rFonts w:ascii="Symbol" w:hAnsi="Symbol" w:hint="default"/>
      </w:rPr>
    </w:lvl>
    <w:lvl w:ilvl="8" w:tplc="2BB6342C" w:tentative="1">
      <w:start w:val="1"/>
      <w:numFmt w:val="bullet"/>
      <w:lvlText w:val=""/>
      <w:lvlJc w:val="left"/>
      <w:pPr>
        <w:tabs>
          <w:tab w:val="num" w:pos="6480"/>
        </w:tabs>
        <w:ind w:left="6480" w:hanging="360"/>
      </w:pPr>
      <w:rPr>
        <w:rFonts w:ascii="Symbol" w:hAnsi="Symbol" w:hint="default"/>
      </w:rPr>
    </w:lvl>
  </w:abstractNum>
  <w:abstractNum w:abstractNumId="11" w15:restartNumberingAfterBreak="0">
    <w:nsid w:val="2CF203E9"/>
    <w:multiLevelType w:val="hybridMultilevel"/>
    <w:tmpl w:val="5D44769A"/>
    <w:lvl w:ilvl="0" w:tplc="5B32F82C">
      <w:numFmt w:val="bullet"/>
      <w:lvlText w:val=""/>
      <w:lvlJc w:val="left"/>
      <w:pPr>
        <w:tabs>
          <w:tab w:val="num" w:pos="1418"/>
        </w:tabs>
        <w:ind w:left="1418" w:hanging="567"/>
      </w:pPr>
      <w:rPr>
        <w:rFonts w:ascii="Wingdings" w:hAnsi="Wingdings" w:hint="default"/>
        <w:sz w:val="24"/>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A9B198A"/>
    <w:multiLevelType w:val="multilevel"/>
    <w:tmpl w:val="FAFC2FCC"/>
    <w:lvl w:ilvl="0">
      <w:start w:val="1"/>
      <w:numFmt w:val="upperLetter"/>
      <w:pStyle w:val="Appendix"/>
      <w:lvlText w:val="APPENDIX %1."/>
      <w:lvlJc w:val="left"/>
      <w:pPr>
        <w:ind w:left="1637" w:hanging="360"/>
      </w:pPr>
      <w:rPr>
        <w:b/>
        <w:bCs/>
        <w:i w:val="0"/>
        <w:iCs w:val="0"/>
        <w:caps w:val="0"/>
        <w:smallCaps w:val="0"/>
        <w:strike w:val="0"/>
        <w:dstrike w:val="0"/>
        <w:outline w:val="0"/>
        <w:shadow w:val="0"/>
        <w:emboss w:val="0"/>
        <w:imprint w:val="0"/>
        <w:noProof w:val="0"/>
        <w:vanish w:val="0"/>
        <w:spacing w:val="0"/>
        <w:kern w:val="0"/>
        <w:position w:val="0"/>
        <w:sz w:val="36"/>
        <w:szCs w:val="36"/>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appendixbodytextnumbering"/>
      <w:lvlText w:val="%1.%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 w15:restartNumberingAfterBreak="0">
    <w:nsid w:val="3F3343D4"/>
    <w:multiLevelType w:val="hybridMultilevel"/>
    <w:tmpl w:val="C19068A2"/>
    <w:lvl w:ilvl="0" w:tplc="7A0EEA80">
      <w:start w:val="1"/>
      <w:numFmt w:val="bullet"/>
      <w:pStyle w:val="Bullet"/>
      <w:lvlText w:val=""/>
      <w:lvlPicBulletId w:val="0"/>
      <w:lvlJc w:val="left"/>
      <w:pPr>
        <w:ind w:left="644" w:hanging="360"/>
      </w:pPr>
      <w:rPr>
        <w:rFonts w:ascii="Symbol" w:hAnsi="Symbol" w:hint="default"/>
        <w:color w:val="auto"/>
      </w:rPr>
    </w:lvl>
    <w:lvl w:ilvl="1" w:tplc="20E41D3E">
      <w:start w:val="1"/>
      <w:numFmt w:val="bullet"/>
      <w:lvlText w:val="o"/>
      <w:lvlJc w:val="left"/>
      <w:pPr>
        <w:ind w:left="1418" w:hanging="567"/>
      </w:pPr>
      <w:rPr>
        <w:rFonts w:ascii="Courier New" w:hAnsi="Courier New" w:hint="default"/>
      </w:rPr>
    </w:lvl>
    <w:lvl w:ilvl="2" w:tplc="C958EAE8">
      <w:start w:val="1"/>
      <w:numFmt w:val="bullet"/>
      <w:lvlText w:val=""/>
      <w:lvlJc w:val="left"/>
      <w:pPr>
        <w:ind w:left="1985" w:hanging="567"/>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25A0D55"/>
    <w:multiLevelType w:val="hybridMultilevel"/>
    <w:tmpl w:val="0DDC0FDA"/>
    <w:lvl w:ilvl="0" w:tplc="9C169D0C">
      <w:start w:val="1"/>
      <w:numFmt w:val="bullet"/>
      <w:pStyle w:val="SOWFL2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5" w15:restartNumberingAfterBreak="0">
    <w:nsid w:val="539D65B6"/>
    <w:multiLevelType w:val="multilevel"/>
    <w:tmpl w:val="A4501488"/>
    <w:lvl w:ilvl="0">
      <w:start w:val="1"/>
      <w:numFmt w:val="decimal"/>
      <w:pStyle w:val="WAHead1"/>
      <w:lvlText w:val="%1"/>
      <w:lvlJc w:val="left"/>
      <w:pPr>
        <w:ind w:left="432" w:hanging="432"/>
      </w:pPr>
    </w:lvl>
    <w:lvl w:ilvl="1">
      <w:start w:val="1"/>
      <w:numFmt w:val="decimal"/>
      <w:pStyle w:val="WAHead2"/>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6" w15:restartNumberingAfterBreak="0">
    <w:nsid w:val="571C0FCC"/>
    <w:multiLevelType w:val="multilevel"/>
    <w:tmpl w:val="1EC49F18"/>
    <w:lvl w:ilvl="0">
      <w:start w:val="1"/>
      <w:numFmt w:val="decimal"/>
      <w:lvlText w:val="%1"/>
      <w:lvlJc w:val="left"/>
      <w:pPr>
        <w:tabs>
          <w:tab w:val="num" w:pos="851"/>
        </w:tabs>
        <w:ind w:left="851" w:hanging="851"/>
      </w:pPr>
      <w:rPr>
        <w:rFonts w:ascii="Calibri Light" w:hAnsi="Calibri Light" w:cs="Calibri Light" w:hint="default"/>
        <w:b/>
        <w:i w:val="0"/>
        <w:caps w:val="0"/>
        <w:strike w:val="0"/>
        <w:dstrike w:val="0"/>
        <w:vanish w:val="0"/>
        <w:color w:val="000000"/>
        <w:sz w:val="32"/>
        <w:szCs w:val="32"/>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851"/>
        </w:tabs>
        <w:ind w:left="851" w:hanging="851"/>
      </w:pPr>
      <w:rPr>
        <w:rFonts w:ascii="Calibri Light" w:hAnsi="Calibri Light" w:cs="Calibri Light" w:hint="default"/>
        <w:b/>
        <w:i w:val="0"/>
        <w:caps w:val="0"/>
        <w:strike w:val="0"/>
        <w:dstrike w:val="0"/>
        <w:vanish w:val="0"/>
        <w:color w:val="000000"/>
        <w:sz w:val="28"/>
        <w:szCs w:val="28"/>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851"/>
        </w:tabs>
        <w:ind w:left="851" w:hanging="851"/>
      </w:pPr>
      <w:rPr>
        <w:rFonts w:ascii="Arial" w:hAnsi="Arial" w:hint="default"/>
        <w:b w:val="0"/>
        <w:i w:val="0"/>
        <w:caps w:val="0"/>
        <w:strike w:val="0"/>
        <w:dstrike w:val="0"/>
        <w:vanish w:val="0"/>
        <w:color w:val="auto"/>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Restart w:val="0"/>
      <w:lvlText w:val="Table %4"/>
      <w:lvlJc w:val="left"/>
      <w:pPr>
        <w:tabs>
          <w:tab w:val="num" w:pos="1844"/>
        </w:tabs>
        <w:ind w:left="1844" w:hanging="1134"/>
      </w:pPr>
      <w:rPr>
        <w:rFonts w:ascii="Calibri Light" w:hAnsi="Calibri Light" w:cs="Calibri Light" w:hint="default"/>
        <w:b/>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Restart w:val="0"/>
      <w:lvlText w:val="Tab. %5"/>
      <w:lvlJc w:val="left"/>
      <w:pPr>
        <w:tabs>
          <w:tab w:val="num" w:pos="1134"/>
        </w:tabs>
        <w:ind w:left="1134" w:hanging="1134"/>
      </w:pPr>
      <w:rPr>
        <w:rFonts w:ascii="Arial" w:hAnsi="Arial" w:hint="default"/>
        <w:b/>
        <w:i w:val="0"/>
        <w:sz w:val="22"/>
      </w:rPr>
    </w:lvl>
    <w:lvl w:ilvl="5">
      <w:start w:val="1"/>
      <w:numFmt w:val="decimal"/>
      <w:lvlRestart w:val="0"/>
      <w:lvlText w:val="Figure %6:"/>
      <w:lvlJc w:val="left"/>
      <w:pPr>
        <w:tabs>
          <w:tab w:val="num" w:pos="1134"/>
        </w:tabs>
        <w:ind w:left="1134" w:hanging="1134"/>
      </w:pPr>
      <w:rPr>
        <w:rFonts w:ascii="Arial" w:hAnsi="Arial" w:hint="default"/>
        <w:b/>
        <w:i w:val="0"/>
        <w:sz w:val="22"/>
      </w:rPr>
    </w:lvl>
    <w:lvl w:ilvl="6">
      <w:start w:val="1"/>
      <w:numFmt w:val="decimal"/>
      <w:lvlText w:val="%1.%2.%3.%4.%5.%6.%7."/>
      <w:lvlJc w:val="left"/>
      <w:pPr>
        <w:tabs>
          <w:tab w:val="num" w:pos="1440"/>
        </w:tabs>
        <w:ind w:left="1440" w:hanging="1440"/>
      </w:pPr>
      <w:rPr>
        <w:rFonts w:hint="default"/>
        <w:i w:val="0"/>
      </w:rPr>
    </w:lvl>
    <w:lvl w:ilvl="7">
      <w:start w:val="1"/>
      <w:numFmt w:val="decimal"/>
      <w:lvlText w:val="%1.%2.%3.%4.%5.%6.%7.%8."/>
      <w:lvlJc w:val="left"/>
      <w:pPr>
        <w:tabs>
          <w:tab w:val="num" w:pos="1800"/>
        </w:tabs>
        <w:ind w:left="1800" w:hanging="1800"/>
      </w:pPr>
      <w:rPr>
        <w:rFonts w:hint="default"/>
        <w:i w:val="0"/>
      </w:rPr>
    </w:lvl>
    <w:lvl w:ilvl="8">
      <w:start w:val="1"/>
      <w:numFmt w:val="decimal"/>
      <w:lvlText w:val="%1.%2.%3.%4.%5.%6.%7.%8.%9."/>
      <w:lvlJc w:val="left"/>
      <w:pPr>
        <w:tabs>
          <w:tab w:val="num" w:pos="1800"/>
        </w:tabs>
        <w:ind w:left="1800" w:hanging="1800"/>
      </w:pPr>
      <w:rPr>
        <w:rFonts w:hint="default"/>
        <w:i w:val="0"/>
      </w:rPr>
    </w:lvl>
  </w:abstractNum>
  <w:abstractNum w:abstractNumId="17" w15:restartNumberingAfterBreak="0">
    <w:nsid w:val="5CAC7A18"/>
    <w:multiLevelType w:val="multilevel"/>
    <w:tmpl w:val="89CE2DA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10076"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8" w15:restartNumberingAfterBreak="0">
    <w:nsid w:val="666036AB"/>
    <w:multiLevelType w:val="hybridMultilevel"/>
    <w:tmpl w:val="227C5FEC"/>
    <w:lvl w:ilvl="0" w:tplc="CE9E36BC">
      <w:start w:val="41"/>
      <w:numFmt w:val="bullet"/>
      <w:lvlText w:val="-"/>
      <w:lvlJc w:val="left"/>
      <w:pPr>
        <w:ind w:left="360" w:hanging="360"/>
      </w:pPr>
      <w:rPr>
        <w:rFonts w:ascii="Calibri" w:eastAsia="Times New Roman"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9" w15:restartNumberingAfterBreak="0">
    <w:nsid w:val="67975B5B"/>
    <w:multiLevelType w:val="hybridMultilevel"/>
    <w:tmpl w:val="C1A2DEAE"/>
    <w:lvl w:ilvl="0" w:tplc="88687A56">
      <w:start w:val="1"/>
      <w:numFmt w:val="decimal"/>
      <w:lvlText w:val="%1."/>
      <w:lvlJc w:val="left"/>
      <w:pPr>
        <w:ind w:left="1070" w:hanging="360"/>
      </w:pPr>
      <w:rPr>
        <w:rFonts w:hint="default"/>
      </w:rPr>
    </w:lvl>
    <w:lvl w:ilvl="1" w:tplc="08090019" w:tentative="1">
      <w:start w:val="1"/>
      <w:numFmt w:val="lowerLetter"/>
      <w:lvlText w:val="%2."/>
      <w:lvlJc w:val="left"/>
      <w:pPr>
        <w:ind w:left="1790" w:hanging="360"/>
      </w:pPr>
    </w:lvl>
    <w:lvl w:ilvl="2" w:tplc="0809001B" w:tentative="1">
      <w:start w:val="1"/>
      <w:numFmt w:val="lowerRoman"/>
      <w:lvlText w:val="%3."/>
      <w:lvlJc w:val="right"/>
      <w:pPr>
        <w:ind w:left="2510" w:hanging="180"/>
      </w:pPr>
    </w:lvl>
    <w:lvl w:ilvl="3" w:tplc="0809000F" w:tentative="1">
      <w:start w:val="1"/>
      <w:numFmt w:val="decimal"/>
      <w:lvlText w:val="%4."/>
      <w:lvlJc w:val="left"/>
      <w:pPr>
        <w:ind w:left="3230" w:hanging="360"/>
      </w:pPr>
    </w:lvl>
    <w:lvl w:ilvl="4" w:tplc="08090019" w:tentative="1">
      <w:start w:val="1"/>
      <w:numFmt w:val="lowerLetter"/>
      <w:lvlText w:val="%5."/>
      <w:lvlJc w:val="left"/>
      <w:pPr>
        <w:ind w:left="3950" w:hanging="360"/>
      </w:pPr>
    </w:lvl>
    <w:lvl w:ilvl="5" w:tplc="0809001B" w:tentative="1">
      <w:start w:val="1"/>
      <w:numFmt w:val="lowerRoman"/>
      <w:lvlText w:val="%6."/>
      <w:lvlJc w:val="right"/>
      <w:pPr>
        <w:ind w:left="4670" w:hanging="180"/>
      </w:pPr>
    </w:lvl>
    <w:lvl w:ilvl="6" w:tplc="0809000F" w:tentative="1">
      <w:start w:val="1"/>
      <w:numFmt w:val="decimal"/>
      <w:lvlText w:val="%7."/>
      <w:lvlJc w:val="left"/>
      <w:pPr>
        <w:ind w:left="5390" w:hanging="360"/>
      </w:pPr>
    </w:lvl>
    <w:lvl w:ilvl="7" w:tplc="08090019" w:tentative="1">
      <w:start w:val="1"/>
      <w:numFmt w:val="lowerLetter"/>
      <w:lvlText w:val="%8."/>
      <w:lvlJc w:val="left"/>
      <w:pPr>
        <w:ind w:left="6110" w:hanging="360"/>
      </w:pPr>
    </w:lvl>
    <w:lvl w:ilvl="8" w:tplc="0809001B" w:tentative="1">
      <w:start w:val="1"/>
      <w:numFmt w:val="lowerRoman"/>
      <w:lvlText w:val="%9."/>
      <w:lvlJc w:val="right"/>
      <w:pPr>
        <w:ind w:left="6830" w:hanging="180"/>
      </w:pPr>
    </w:lvl>
  </w:abstractNum>
  <w:abstractNum w:abstractNumId="20" w15:restartNumberingAfterBreak="0">
    <w:nsid w:val="74292783"/>
    <w:multiLevelType w:val="hybridMultilevel"/>
    <w:tmpl w:val="D228D270"/>
    <w:lvl w:ilvl="0" w:tplc="74A443BC">
      <w:start w:val="4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F8D180B"/>
    <w:multiLevelType w:val="multilevel"/>
    <w:tmpl w:val="700A9FB2"/>
    <w:styleLink w:val="SOWFLbullet2"/>
    <w:lvl w:ilvl="0">
      <w:start w:val="1"/>
      <w:numFmt w:val="bullet"/>
      <w:lvlText w:val=""/>
      <w:lvlPicBulletId w:val="0"/>
      <w:lvlJc w:val="left"/>
      <w:pPr>
        <w:ind w:left="360" w:hanging="360"/>
      </w:pPr>
      <w:rPr>
        <w:rFonts w:ascii="Arial" w:hAnsi="Arial"/>
        <w:color w:val="auto"/>
        <w:sz w:val="20"/>
      </w:rPr>
    </w:lvl>
    <w:lvl w:ilvl="1">
      <w:start w:val="1"/>
      <w:numFmt w:val="bullet"/>
      <w:lvlText w:val=""/>
      <w:lvlJc w:val="left"/>
      <w:pPr>
        <w:ind w:left="1080" w:hanging="360"/>
      </w:pPr>
      <w:rPr>
        <w:rFonts w:ascii="Symbol" w:hAnsi="Symbol" w:cs="Courier New" w:hint="default"/>
      </w:rPr>
    </w:lvl>
    <w:lvl w:ilvl="2">
      <w:start w:val="1"/>
      <w:numFmt w:val="bullet"/>
      <w:lvlText w:val=""/>
      <w:lvlJc w:val="left"/>
      <w:pPr>
        <w:ind w:left="1800" w:hanging="360"/>
      </w:pPr>
      <w:rPr>
        <w:rFonts w:ascii="Symbol" w:hAnsi="Symbol"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15"/>
  </w:num>
  <w:num w:numId="2">
    <w:abstractNumId w:val="17"/>
  </w:num>
  <w:num w:numId="3">
    <w:abstractNumId w:val="7"/>
  </w:num>
  <w:num w:numId="4">
    <w:abstractNumId w:val="13"/>
  </w:num>
  <w:num w:numId="5">
    <w:abstractNumId w:val="14"/>
  </w:num>
  <w:num w:numId="6">
    <w:abstractNumId w:val="5"/>
  </w:num>
  <w:num w:numId="7">
    <w:abstractNumId w:val="21"/>
  </w:num>
  <w:num w:numId="8">
    <w:abstractNumId w:val="0"/>
  </w:num>
  <w:num w:numId="9">
    <w:abstractNumId w:val="12"/>
  </w:num>
  <w:num w:numId="10">
    <w:abstractNumId w:val="18"/>
  </w:num>
  <w:num w:numId="11">
    <w:abstractNumId w:val="11"/>
  </w:num>
  <w:num w:numId="12">
    <w:abstractNumId w:val="1"/>
  </w:num>
  <w:num w:numId="13">
    <w:abstractNumId w:val="7"/>
  </w:num>
  <w:num w:numId="14">
    <w:abstractNumId w:val="7"/>
  </w:num>
  <w:num w:numId="15">
    <w:abstractNumId w:val="7"/>
  </w:num>
  <w:num w:numId="16">
    <w:abstractNumId w:val="7"/>
  </w:num>
  <w:num w:numId="17">
    <w:abstractNumId w:val="7"/>
  </w:num>
  <w:num w:numId="18">
    <w:abstractNumId w:val="7"/>
  </w:num>
  <w:num w:numId="19">
    <w:abstractNumId w:val="7"/>
  </w:num>
  <w:num w:numId="20">
    <w:abstractNumId w:val="7"/>
  </w:num>
  <w:num w:numId="21">
    <w:abstractNumId w:val="7"/>
  </w:num>
  <w:num w:numId="22">
    <w:abstractNumId w:val="7"/>
  </w:num>
  <w:num w:numId="23">
    <w:abstractNumId w:val="7"/>
  </w:num>
  <w:num w:numId="24">
    <w:abstractNumId w:val="7"/>
  </w:num>
  <w:num w:numId="25">
    <w:abstractNumId w:val="7"/>
  </w:num>
  <w:num w:numId="26">
    <w:abstractNumId w:val="7"/>
  </w:num>
  <w:num w:numId="27">
    <w:abstractNumId w:val="13"/>
  </w:num>
  <w:num w:numId="28">
    <w:abstractNumId w:val="7"/>
  </w:num>
  <w:num w:numId="29">
    <w:abstractNumId w:val="7"/>
  </w:num>
  <w:num w:numId="30">
    <w:abstractNumId w:val="7"/>
  </w:num>
  <w:num w:numId="31">
    <w:abstractNumId w:val="7"/>
  </w:num>
  <w:num w:numId="32">
    <w:abstractNumId w:val="7"/>
  </w:num>
  <w:num w:numId="33">
    <w:abstractNumId w:val="7"/>
  </w:num>
  <w:num w:numId="34">
    <w:abstractNumId w:val="7"/>
  </w:num>
  <w:num w:numId="35">
    <w:abstractNumId w:val="7"/>
  </w:num>
  <w:num w:numId="36">
    <w:abstractNumId w:val="7"/>
  </w:num>
  <w:num w:numId="37">
    <w:abstractNumId w:val="7"/>
  </w:num>
  <w:num w:numId="38">
    <w:abstractNumId w:val="7"/>
  </w:num>
  <w:num w:numId="39">
    <w:abstractNumId w:val="7"/>
  </w:num>
  <w:num w:numId="40">
    <w:abstractNumId w:val="7"/>
  </w:num>
  <w:num w:numId="41">
    <w:abstractNumId w:val="7"/>
  </w:num>
  <w:num w:numId="42">
    <w:abstractNumId w:val="7"/>
  </w:num>
  <w:num w:numId="43">
    <w:abstractNumId w:val="7"/>
  </w:num>
  <w:num w:numId="44">
    <w:abstractNumId w:val="7"/>
  </w:num>
  <w:num w:numId="45">
    <w:abstractNumId w:val="7"/>
  </w:num>
  <w:num w:numId="46">
    <w:abstractNumId w:val="7"/>
  </w:num>
  <w:num w:numId="47">
    <w:abstractNumId w:val="7"/>
  </w:num>
  <w:num w:numId="48">
    <w:abstractNumId w:val="7"/>
  </w:num>
  <w:num w:numId="49">
    <w:abstractNumId w:val="7"/>
  </w:num>
  <w:num w:numId="50">
    <w:abstractNumId w:val="7"/>
  </w:num>
  <w:num w:numId="51">
    <w:abstractNumId w:val="7"/>
  </w:num>
  <w:num w:numId="52">
    <w:abstractNumId w:val="7"/>
  </w:num>
  <w:num w:numId="53">
    <w:abstractNumId w:val="7"/>
  </w:num>
  <w:num w:numId="5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7"/>
  </w:num>
  <w:num w:numId="56">
    <w:abstractNumId w:val="3"/>
  </w:num>
  <w:num w:numId="57">
    <w:abstractNumId w:val="16"/>
  </w:num>
  <w:num w:numId="58">
    <w:abstractNumId w:val="8"/>
  </w:num>
  <w:num w:numId="59">
    <w:abstractNumId w:val="13"/>
  </w:num>
  <w:num w:numId="60">
    <w:abstractNumId w:val="7"/>
  </w:num>
  <w:num w:numId="61">
    <w:abstractNumId w:val="7"/>
  </w:num>
  <w:num w:numId="6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7"/>
  </w:num>
  <w:num w:numId="64">
    <w:abstractNumId w:val="7"/>
  </w:num>
  <w:num w:numId="65">
    <w:abstractNumId w:val="7"/>
  </w:num>
  <w:num w:numId="6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7"/>
  </w:num>
  <w:num w:numId="68">
    <w:abstractNumId w:val="7"/>
  </w:num>
  <w:num w:numId="69">
    <w:abstractNumId w:val="7"/>
  </w:num>
  <w:num w:numId="7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7"/>
  </w:num>
  <w:num w:numId="72">
    <w:abstractNumId w:val="12"/>
  </w:num>
  <w:num w:numId="73">
    <w:abstractNumId w:val="12"/>
  </w:num>
  <w:num w:numId="74">
    <w:abstractNumId w:val="12"/>
  </w:num>
  <w:num w:numId="75">
    <w:abstractNumId w:val="4"/>
  </w:num>
  <w:num w:numId="76">
    <w:abstractNumId w:val="12"/>
  </w:num>
  <w:num w:numId="77">
    <w:abstractNumId w:val="12"/>
  </w:num>
  <w:num w:numId="78">
    <w:abstractNumId w:val="12"/>
  </w:num>
  <w:num w:numId="7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7"/>
  </w:num>
  <w:num w:numId="81">
    <w:abstractNumId w:val="7"/>
  </w:num>
  <w:num w:numId="82">
    <w:abstractNumId w:val="7"/>
  </w:num>
  <w:num w:numId="83">
    <w:abstractNumId w:val="13"/>
  </w:num>
  <w:num w:numId="84">
    <w:abstractNumId w:val="13"/>
  </w:num>
  <w:num w:numId="85">
    <w:abstractNumId w:val="13"/>
  </w:num>
  <w:num w:numId="86">
    <w:abstractNumId w:val="13"/>
  </w:num>
  <w:num w:numId="87">
    <w:abstractNumId w:val="7"/>
  </w:num>
  <w:num w:numId="88">
    <w:abstractNumId w:val="7"/>
  </w:num>
  <w:num w:numId="89">
    <w:abstractNumId w:val="7"/>
  </w:num>
  <w:num w:numId="90">
    <w:abstractNumId w:val="7"/>
  </w:num>
  <w:num w:numId="91">
    <w:abstractNumId w:val="7"/>
  </w:num>
  <w:num w:numId="92">
    <w:abstractNumId w:val="7"/>
  </w:num>
  <w:num w:numId="93">
    <w:abstractNumId w:val="7"/>
  </w:num>
  <w:num w:numId="94">
    <w:abstractNumId w:val="7"/>
  </w:num>
  <w:num w:numId="95">
    <w:abstractNumId w:val="7"/>
  </w:num>
  <w:num w:numId="96">
    <w:abstractNumId w:val="7"/>
  </w:num>
  <w:num w:numId="97">
    <w:abstractNumId w:val="7"/>
  </w:num>
  <w:num w:numId="98">
    <w:abstractNumId w:val="7"/>
  </w:num>
  <w:num w:numId="99">
    <w:abstractNumId w:val="7"/>
  </w:num>
  <w:num w:numId="100">
    <w:abstractNumId w:val="7"/>
  </w:num>
  <w:num w:numId="101">
    <w:abstractNumId w:val="7"/>
  </w:num>
  <w:num w:numId="102">
    <w:abstractNumId w:val="7"/>
  </w:num>
  <w:num w:numId="103">
    <w:abstractNumId w:val="7"/>
  </w:num>
  <w:num w:numId="104">
    <w:abstractNumId w:val="7"/>
  </w:num>
  <w:num w:numId="105">
    <w:abstractNumId w:val="7"/>
  </w:num>
  <w:num w:numId="106">
    <w:abstractNumId w:val="7"/>
  </w:num>
  <w:num w:numId="107">
    <w:abstractNumId w:val="7"/>
  </w:num>
  <w:num w:numId="108">
    <w:abstractNumId w:val="7"/>
  </w:num>
  <w:num w:numId="109">
    <w:abstractNumId w:val="7"/>
  </w:num>
  <w:num w:numId="110">
    <w:abstractNumId w:val="7"/>
  </w:num>
  <w:num w:numId="111">
    <w:abstractNumId w:val="7"/>
  </w:num>
  <w:num w:numId="112">
    <w:abstractNumId w:val="7"/>
  </w:num>
  <w:num w:numId="113">
    <w:abstractNumId w:val="7"/>
  </w:num>
  <w:num w:numId="114">
    <w:abstractNumId w:val="7"/>
  </w:num>
  <w:num w:numId="115">
    <w:abstractNumId w:val="7"/>
  </w:num>
  <w:num w:numId="116">
    <w:abstractNumId w:val="7"/>
  </w:num>
  <w:num w:numId="117">
    <w:abstractNumId w:val="7"/>
  </w:num>
  <w:num w:numId="118">
    <w:abstractNumId w:val="7"/>
  </w:num>
  <w:num w:numId="119">
    <w:abstractNumId w:val="7"/>
  </w:num>
  <w:num w:numId="120">
    <w:abstractNumId w:val="7"/>
  </w:num>
  <w:num w:numId="121">
    <w:abstractNumId w:val="7"/>
  </w:num>
  <w:num w:numId="122">
    <w:abstractNumId w:val="7"/>
  </w:num>
  <w:num w:numId="123">
    <w:abstractNumId w:val="7"/>
  </w:num>
  <w:num w:numId="124">
    <w:abstractNumId w:val="7"/>
  </w:num>
  <w:num w:numId="125">
    <w:abstractNumId w:val="7"/>
  </w:num>
  <w:num w:numId="126">
    <w:abstractNumId w:val="7"/>
  </w:num>
  <w:num w:numId="127">
    <w:abstractNumId w:val="7"/>
  </w:num>
  <w:num w:numId="128">
    <w:abstractNumId w:val="6"/>
  </w:num>
  <w:num w:numId="129">
    <w:abstractNumId w:val="7"/>
  </w:num>
  <w:num w:numId="130">
    <w:abstractNumId w:val="7"/>
  </w:num>
  <w:num w:numId="131">
    <w:abstractNumId w:val="13"/>
  </w:num>
  <w:num w:numId="132">
    <w:abstractNumId w:val="13"/>
  </w:num>
  <w:num w:numId="133">
    <w:abstractNumId w:val="13"/>
  </w:num>
  <w:num w:numId="134">
    <w:abstractNumId w:val="19"/>
  </w:num>
  <w:num w:numId="135">
    <w:abstractNumId w:val="13"/>
  </w:num>
  <w:num w:numId="136">
    <w:abstractNumId w:val="13"/>
  </w:num>
  <w:num w:numId="137">
    <w:abstractNumId w:val="9"/>
  </w:num>
  <w:num w:numId="138">
    <w:abstractNumId w:val="20"/>
  </w:num>
  <w:num w:numId="139">
    <w:abstractNumId w:val="13"/>
  </w:num>
  <w:num w:numId="140">
    <w:abstractNumId w:val="10"/>
  </w:num>
  <w:num w:numId="141">
    <w:abstractNumId w:val="7"/>
  </w:num>
  <w:num w:numId="142">
    <w:abstractNumId w:val="7"/>
  </w:num>
  <w:num w:numId="143">
    <w:abstractNumId w:val="7"/>
  </w:num>
  <w:num w:numId="144">
    <w:abstractNumId w:val="7"/>
  </w:num>
  <w:num w:numId="145">
    <w:abstractNumId w:val="7"/>
  </w:num>
  <w:num w:numId="146">
    <w:abstractNumId w:val="7"/>
  </w:num>
  <w:num w:numId="147">
    <w:abstractNumId w:val="13"/>
  </w:num>
  <w:num w:numId="148">
    <w:abstractNumId w:val="2"/>
  </w:num>
  <w:num w:numId="149">
    <w:abstractNumId w:val="7"/>
  </w:num>
  <w:numIdMacAtCleanup w:val="1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31B7"/>
    <w:rsid w:val="000012B4"/>
    <w:rsid w:val="00001F61"/>
    <w:rsid w:val="00002335"/>
    <w:rsid w:val="000026F1"/>
    <w:rsid w:val="00003071"/>
    <w:rsid w:val="00003BA9"/>
    <w:rsid w:val="000040D2"/>
    <w:rsid w:val="00004481"/>
    <w:rsid w:val="00004F3A"/>
    <w:rsid w:val="00005459"/>
    <w:rsid w:val="0000673D"/>
    <w:rsid w:val="000102FA"/>
    <w:rsid w:val="00011133"/>
    <w:rsid w:val="00013730"/>
    <w:rsid w:val="00014499"/>
    <w:rsid w:val="000152BB"/>
    <w:rsid w:val="00016072"/>
    <w:rsid w:val="00016F34"/>
    <w:rsid w:val="00016F91"/>
    <w:rsid w:val="00017E73"/>
    <w:rsid w:val="00020469"/>
    <w:rsid w:val="00022C6F"/>
    <w:rsid w:val="00023B0B"/>
    <w:rsid w:val="00024531"/>
    <w:rsid w:val="00026531"/>
    <w:rsid w:val="00026EF1"/>
    <w:rsid w:val="00026F10"/>
    <w:rsid w:val="0002766F"/>
    <w:rsid w:val="00027F1C"/>
    <w:rsid w:val="0003040F"/>
    <w:rsid w:val="00031801"/>
    <w:rsid w:val="00032F89"/>
    <w:rsid w:val="0003308B"/>
    <w:rsid w:val="00036313"/>
    <w:rsid w:val="00036EDE"/>
    <w:rsid w:val="00037036"/>
    <w:rsid w:val="00037DA2"/>
    <w:rsid w:val="00040168"/>
    <w:rsid w:val="00043512"/>
    <w:rsid w:val="00044DE4"/>
    <w:rsid w:val="00044E86"/>
    <w:rsid w:val="00045946"/>
    <w:rsid w:val="000467A0"/>
    <w:rsid w:val="00046898"/>
    <w:rsid w:val="00047079"/>
    <w:rsid w:val="000502CC"/>
    <w:rsid w:val="000505D4"/>
    <w:rsid w:val="00050D9D"/>
    <w:rsid w:val="00053DCF"/>
    <w:rsid w:val="00056F0B"/>
    <w:rsid w:val="00060870"/>
    <w:rsid w:val="00060A9D"/>
    <w:rsid w:val="00061EC4"/>
    <w:rsid w:val="000637B9"/>
    <w:rsid w:val="00063F8F"/>
    <w:rsid w:val="0006661E"/>
    <w:rsid w:val="00071FF0"/>
    <w:rsid w:val="000732A7"/>
    <w:rsid w:val="000752A5"/>
    <w:rsid w:val="00076442"/>
    <w:rsid w:val="000769F2"/>
    <w:rsid w:val="00080113"/>
    <w:rsid w:val="00080791"/>
    <w:rsid w:val="000818F2"/>
    <w:rsid w:val="000819A6"/>
    <w:rsid w:val="00084637"/>
    <w:rsid w:val="00084965"/>
    <w:rsid w:val="000858DC"/>
    <w:rsid w:val="00085E8F"/>
    <w:rsid w:val="00086E1B"/>
    <w:rsid w:val="00086E51"/>
    <w:rsid w:val="00086F1F"/>
    <w:rsid w:val="00087666"/>
    <w:rsid w:val="00090AD2"/>
    <w:rsid w:val="000918C4"/>
    <w:rsid w:val="00094021"/>
    <w:rsid w:val="00094A48"/>
    <w:rsid w:val="0009598D"/>
    <w:rsid w:val="000960CF"/>
    <w:rsid w:val="0009712F"/>
    <w:rsid w:val="000A00B4"/>
    <w:rsid w:val="000A3478"/>
    <w:rsid w:val="000A49D9"/>
    <w:rsid w:val="000A4EA6"/>
    <w:rsid w:val="000A4F0E"/>
    <w:rsid w:val="000A5194"/>
    <w:rsid w:val="000A6761"/>
    <w:rsid w:val="000A75F3"/>
    <w:rsid w:val="000A7FA7"/>
    <w:rsid w:val="000B2789"/>
    <w:rsid w:val="000B357E"/>
    <w:rsid w:val="000B5660"/>
    <w:rsid w:val="000B5A80"/>
    <w:rsid w:val="000B5B0B"/>
    <w:rsid w:val="000B5DAE"/>
    <w:rsid w:val="000B6969"/>
    <w:rsid w:val="000B69E0"/>
    <w:rsid w:val="000C0739"/>
    <w:rsid w:val="000C19B4"/>
    <w:rsid w:val="000C22E0"/>
    <w:rsid w:val="000C2EC6"/>
    <w:rsid w:val="000C349F"/>
    <w:rsid w:val="000C3E6F"/>
    <w:rsid w:val="000C425A"/>
    <w:rsid w:val="000C447A"/>
    <w:rsid w:val="000C4E24"/>
    <w:rsid w:val="000C52A4"/>
    <w:rsid w:val="000C715C"/>
    <w:rsid w:val="000C74A6"/>
    <w:rsid w:val="000D0F54"/>
    <w:rsid w:val="000D28D9"/>
    <w:rsid w:val="000D5977"/>
    <w:rsid w:val="000D6B78"/>
    <w:rsid w:val="000E0BD4"/>
    <w:rsid w:val="000E0F18"/>
    <w:rsid w:val="000E1525"/>
    <w:rsid w:val="000E1591"/>
    <w:rsid w:val="000E170F"/>
    <w:rsid w:val="000E2076"/>
    <w:rsid w:val="000E23FA"/>
    <w:rsid w:val="000E2DD1"/>
    <w:rsid w:val="000E3029"/>
    <w:rsid w:val="000E6B4B"/>
    <w:rsid w:val="000F04A4"/>
    <w:rsid w:val="000F3C51"/>
    <w:rsid w:val="000F45CE"/>
    <w:rsid w:val="000F47ED"/>
    <w:rsid w:val="000F63CC"/>
    <w:rsid w:val="000F68DD"/>
    <w:rsid w:val="000F799B"/>
    <w:rsid w:val="000F7E6D"/>
    <w:rsid w:val="00100533"/>
    <w:rsid w:val="00101EAD"/>
    <w:rsid w:val="001036A0"/>
    <w:rsid w:val="00103CD0"/>
    <w:rsid w:val="00103EEF"/>
    <w:rsid w:val="001042A5"/>
    <w:rsid w:val="001051EF"/>
    <w:rsid w:val="00106330"/>
    <w:rsid w:val="00106987"/>
    <w:rsid w:val="00107D57"/>
    <w:rsid w:val="001100DB"/>
    <w:rsid w:val="0011074E"/>
    <w:rsid w:val="00112CB2"/>
    <w:rsid w:val="00113BB7"/>
    <w:rsid w:val="001144D8"/>
    <w:rsid w:val="00114F8F"/>
    <w:rsid w:val="00115926"/>
    <w:rsid w:val="00117B8F"/>
    <w:rsid w:val="00120D41"/>
    <w:rsid w:val="00120FDF"/>
    <w:rsid w:val="00121ECA"/>
    <w:rsid w:val="001223DD"/>
    <w:rsid w:val="0012245C"/>
    <w:rsid w:val="0012508F"/>
    <w:rsid w:val="00125388"/>
    <w:rsid w:val="001258B8"/>
    <w:rsid w:val="001263A4"/>
    <w:rsid w:val="00126E86"/>
    <w:rsid w:val="00133B36"/>
    <w:rsid w:val="00135124"/>
    <w:rsid w:val="001368C0"/>
    <w:rsid w:val="00140110"/>
    <w:rsid w:val="001417F2"/>
    <w:rsid w:val="00141F49"/>
    <w:rsid w:val="00142144"/>
    <w:rsid w:val="001436AF"/>
    <w:rsid w:val="00144184"/>
    <w:rsid w:val="00144DE3"/>
    <w:rsid w:val="00145675"/>
    <w:rsid w:val="00150B22"/>
    <w:rsid w:val="00150BA7"/>
    <w:rsid w:val="00150C59"/>
    <w:rsid w:val="00151393"/>
    <w:rsid w:val="001522BD"/>
    <w:rsid w:val="001529ED"/>
    <w:rsid w:val="00156BA5"/>
    <w:rsid w:val="00160E06"/>
    <w:rsid w:val="001616D6"/>
    <w:rsid w:val="001619C5"/>
    <w:rsid w:val="001625F2"/>
    <w:rsid w:val="001636DE"/>
    <w:rsid w:val="00163976"/>
    <w:rsid w:val="0016526E"/>
    <w:rsid w:val="00165D98"/>
    <w:rsid w:val="001662D4"/>
    <w:rsid w:val="001669A8"/>
    <w:rsid w:val="00171257"/>
    <w:rsid w:val="0017125E"/>
    <w:rsid w:val="00171C02"/>
    <w:rsid w:val="00171FF4"/>
    <w:rsid w:val="00173DBD"/>
    <w:rsid w:val="00173F9E"/>
    <w:rsid w:val="00175265"/>
    <w:rsid w:val="00176F76"/>
    <w:rsid w:val="00176FEA"/>
    <w:rsid w:val="00177750"/>
    <w:rsid w:val="00180EB8"/>
    <w:rsid w:val="0018241A"/>
    <w:rsid w:val="00183AF6"/>
    <w:rsid w:val="001843D2"/>
    <w:rsid w:val="001859EE"/>
    <w:rsid w:val="00185B72"/>
    <w:rsid w:val="00186474"/>
    <w:rsid w:val="00186568"/>
    <w:rsid w:val="0019166D"/>
    <w:rsid w:val="00195C6C"/>
    <w:rsid w:val="00196489"/>
    <w:rsid w:val="001A0669"/>
    <w:rsid w:val="001A2BBA"/>
    <w:rsid w:val="001A35E2"/>
    <w:rsid w:val="001A595C"/>
    <w:rsid w:val="001A597C"/>
    <w:rsid w:val="001A6144"/>
    <w:rsid w:val="001A72B6"/>
    <w:rsid w:val="001A7328"/>
    <w:rsid w:val="001B001A"/>
    <w:rsid w:val="001B15D4"/>
    <w:rsid w:val="001B18A1"/>
    <w:rsid w:val="001B1E37"/>
    <w:rsid w:val="001B2028"/>
    <w:rsid w:val="001B2400"/>
    <w:rsid w:val="001B2EAF"/>
    <w:rsid w:val="001B3473"/>
    <w:rsid w:val="001B34FD"/>
    <w:rsid w:val="001B35BA"/>
    <w:rsid w:val="001B39C2"/>
    <w:rsid w:val="001B5491"/>
    <w:rsid w:val="001B5889"/>
    <w:rsid w:val="001B618A"/>
    <w:rsid w:val="001B6729"/>
    <w:rsid w:val="001B68A3"/>
    <w:rsid w:val="001B706B"/>
    <w:rsid w:val="001C0B1C"/>
    <w:rsid w:val="001C221C"/>
    <w:rsid w:val="001C2293"/>
    <w:rsid w:val="001C3B93"/>
    <w:rsid w:val="001C4ADF"/>
    <w:rsid w:val="001C6C87"/>
    <w:rsid w:val="001C7164"/>
    <w:rsid w:val="001C792E"/>
    <w:rsid w:val="001D0A76"/>
    <w:rsid w:val="001D0BCA"/>
    <w:rsid w:val="001D127C"/>
    <w:rsid w:val="001D35C0"/>
    <w:rsid w:val="001D6155"/>
    <w:rsid w:val="001E031A"/>
    <w:rsid w:val="001E1BAE"/>
    <w:rsid w:val="001E1BF7"/>
    <w:rsid w:val="001E2D54"/>
    <w:rsid w:val="001E2D67"/>
    <w:rsid w:val="001E3531"/>
    <w:rsid w:val="001E4301"/>
    <w:rsid w:val="001E55D1"/>
    <w:rsid w:val="001E5AA1"/>
    <w:rsid w:val="001E5BBD"/>
    <w:rsid w:val="001E6818"/>
    <w:rsid w:val="001E68C7"/>
    <w:rsid w:val="001E713C"/>
    <w:rsid w:val="001E715C"/>
    <w:rsid w:val="001E722E"/>
    <w:rsid w:val="001F211D"/>
    <w:rsid w:val="001F229D"/>
    <w:rsid w:val="001F2874"/>
    <w:rsid w:val="001F3D0C"/>
    <w:rsid w:val="001F4033"/>
    <w:rsid w:val="001F461B"/>
    <w:rsid w:val="001F4CE1"/>
    <w:rsid w:val="001F66D2"/>
    <w:rsid w:val="001F6709"/>
    <w:rsid w:val="001F7E8D"/>
    <w:rsid w:val="001F7ECA"/>
    <w:rsid w:val="002009C7"/>
    <w:rsid w:val="00201168"/>
    <w:rsid w:val="002011AD"/>
    <w:rsid w:val="00202B16"/>
    <w:rsid w:val="002030B2"/>
    <w:rsid w:val="00203C58"/>
    <w:rsid w:val="00204E75"/>
    <w:rsid w:val="002053FF"/>
    <w:rsid w:val="0021578E"/>
    <w:rsid w:val="00215C55"/>
    <w:rsid w:val="00221006"/>
    <w:rsid w:val="0022122E"/>
    <w:rsid w:val="00221BAD"/>
    <w:rsid w:val="002222BB"/>
    <w:rsid w:val="002226E1"/>
    <w:rsid w:val="0022323F"/>
    <w:rsid w:val="0022369E"/>
    <w:rsid w:val="002243F5"/>
    <w:rsid w:val="00224ABE"/>
    <w:rsid w:val="00224F4F"/>
    <w:rsid w:val="0022582E"/>
    <w:rsid w:val="00226248"/>
    <w:rsid w:val="00226B1D"/>
    <w:rsid w:val="0022701C"/>
    <w:rsid w:val="002302E7"/>
    <w:rsid w:val="002304B3"/>
    <w:rsid w:val="00231E78"/>
    <w:rsid w:val="002322E7"/>
    <w:rsid w:val="002352D0"/>
    <w:rsid w:val="00236805"/>
    <w:rsid w:val="00236909"/>
    <w:rsid w:val="00237B99"/>
    <w:rsid w:val="002418BB"/>
    <w:rsid w:val="00241CEC"/>
    <w:rsid w:val="00241F40"/>
    <w:rsid w:val="00242AD0"/>
    <w:rsid w:val="00242B6C"/>
    <w:rsid w:val="00242BF2"/>
    <w:rsid w:val="002435C4"/>
    <w:rsid w:val="00243638"/>
    <w:rsid w:val="00243882"/>
    <w:rsid w:val="00243BA0"/>
    <w:rsid w:val="00244081"/>
    <w:rsid w:val="00245D51"/>
    <w:rsid w:val="00246F8F"/>
    <w:rsid w:val="00247CA8"/>
    <w:rsid w:val="00247CF0"/>
    <w:rsid w:val="00251863"/>
    <w:rsid w:val="00252E4C"/>
    <w:rsid w:val="0025302F"/>
    <w:rsid w:val="00253C25"/>
    <w:rsid w:val="00255B12"/>
    <w:rsid w:val="00261325"/>
    <w:rsid w:val="00261955"/>
    <w:rsid w:val="00261F10"/>
    <w:rsid w:val="0026251B"/>
    <w:rsid w:val="00264195"/>
    <w:rsid w:val="00265921"/>
    <w:rsid w:val="00266256"/>
    <w:rsid w:val="00266E8C"/>
    <w:rsid w:val="002722E9"/>
    <w:rsid w:val="0027319E"/>
    <w:rsid w:val="00273D00"/>
    <w:rsid w:val="002741A6"/>
    <w:rsid w:val="00274369"/>
    <w:rsid w:val="0027531D"/>
    <w:rsid w:val="00275518"/>
    <w:rsid w:val="00276A3C"/>
    <w:rsid w:val="00276BE7"/>
    <w:rsid w:val="00277711"/>
    <w:rsid w:val="00281BE5"/>
    <w:rsid w:val="00284D68"/>
    <w:rsid w:val="0028572C"/>
    <w:rsid w:val="00287889"/>
    <w:rsid w:val="002905DA"/>
    <w:rsid w:val="0029069E"/>
    <w:rsid w:val="002906AC"/>
    <w:rsid w:val="002906F1"/>
    <w:rsid w:val="00291E75"/>
    <w:rsid w:val="00292783"/>
    <w:rsid w:val="00292CC9"/>
    <w:rsid w:val="00293CBB"/>
    <w:rsid w:val="00294036"/>
    <w:rsid w:val="00294D7F"/>
    <w:rsid w:val="00295C3A"/>
    <w:rsid w:val="002961B4"/>
    <w:rsid w:val="002964F8"/>
    <w:rsid w:val="002A09C4"/>
    <w:rsid w:val="002A0EDA"/>
    <w:rsid w:val="002A1465"/>
    <w:rsid w:val="002A1A10"/>
    <w:rsid w:val="002A253F"/>
    <w:rsid w:val="002A2B15"/>
    <w:rsid w:val="002A4A51"/>
    <w:rsid w:val="002A4ED4"/>
    <w:rsid w:val="002A6A90"/>
    <w:rsid w:val="002A76FA"/>
    <w:rsid w:val="002B04B3"/>
    <w:rsid w:val="002B09C1"/>
    <w:rsid w:val="002B25B8"/>
    <w:rsid w:val="002B2E12"/>
    <w:rsid w:val="002B3E13"/>
    <w:rsid w:val="002B4298"/>
    <w:rsid w:val="002B4704"/>
    <w:rsid w:val="002B570B"/>
    <w:rsid w:val="002B5BA8"/>
    <w:rsid w:val="002B63C8"/>
    <w:rsid w:val="002B7875"/>
    <w:rsid w:val="002C0594"/>
    <w:rsid w:val="002C0876"/>
    <w:rsid w:val="002C1FEF"/>
    <w:rsid w:val="002C28FA"/>
    <w:rsid w:val="002C2EC6"/>
    <w:rsid w:val="002C3362"/>
    <w:rsid w:val="002C420A"/>
    <w:rsid w:val="002C6A75"/>
    <w:rsid w:val="002C6C2C"/>
    <w:rsid w:val="002C714C"/>
    <w:rsid w:val="002D0E08"/>
    <w:rsid w:val="002D1896"/>
    <w:rsid w:val="002D335A"/>
    <w:rsid w:val="002D3407"/>
    <w:rsid w:val="002D3834"/>
    <w:rsid w:val="002D57DD"/>
    <w:rsid w:val="002D63C1"/>
    <w:rsid w:val="002D6788"/>
    <w:rsid w:val="002D6808"/>
    <w:rsid w:val="002D6930"/>
    <w:rsid w:val="002D7159"/>
    <w:rsid w:val="002D7557"/>
    <w:rsid w:val="002D7E41"/>
    <w:rsid w:val="002E067B"/>
    <w:rsid w:val="002E0746"/>
    <w:rsid w:val="002E2EC4"/>
    <w:rsid w:val="002E30C1"/>
    <w:rsid w:val="002E38F3"/>
    <w:rsid w:val="002E4EA4"/>
    <w:rsid w:val="002E73E6"/>
    <w:rsid w:val="002F0577"/>
    <w:rsid w:val="002F0659"/>
    <w:rsid w:val="002F0A18"/>
    <w:rsid w:val="002F28A2"/>
    <w:rsid w:val="002F4521"/>
    <w:rsid w:val="002F4583"/>
    <w:rsid w:val="002F666D"/>
    <w:rsid w:val="002F7A4E"/>
    <w:rsid w:val="00300231"/>
    <w:rsid w:val="003003AF"/>
    <w:rsid w:val="00300588"/>
    <w:rsid w:val="00304193"/>
    <w:rsid w:val="003076B0"/>
    <w:rsid w:val="00310D38"/>
    <w:rsid w:val="00311919"/>
    <w:rsid w:val="003119E0"/>
    <w:rsid w:val="00313451"/>
    <w:rsid w:val="0031405B"/>
    <w:rsid w:val="003143A2"/>
    <w:rsid w:val="00314670"/>
    <w:rsid w:val="003155D0"/>
    <w:rsid w:val="00317865"/>
    <w:rsid w:val="0031797D"/>
    <w:rsid w:val="00317D3F"/>
    <w:rsid w:val="0032092E"/>
    <w:rsid w:val="003212B6"/>
    <w:rsid w:val="00321458"/>
    <w:rsid w:val="00322C46"/>
    <w:rsid w:val="00323F13"/>
    <w:rsid w:val="003264A9"/>
    <w:rsid w:val="003271E8"/>
    <w:rsid w:val="00330764"/>
    <w:rsid w:val="0033181A"/>
    <w:rsid w:val="003319BA"/>
    <w:rsid w:val="003335DF"/>
    <w:rsid w:val="0033497D"/>
    <w:rsid w:val="003357E8"/>
    <w:rsid w:val="003367C6"/>
    <w:rsid w:val="003378AD"/>
    <w:rsid w:val="003402B9"/>
    <w:rsid w:val="003402E5"/>
    <w:rsid w:val="00340404"/>
    <w:rsid w:val="00340A3D"/>
    <w:rsid w:val="00341A39"/>
    <w:rsid w:val="00343694"/>
    <w:rsid w:val="00344426"/>
    <w:rsid w:val="00346E63"/>
    <w:rsid w:val="0034700B"/>
    <w:rsid w:val="00347A7E"/>
    <w:rsid w:val="00347B21"/>
    <w:rsid w:val="00347C3A"/>
    <w:rsid w:val="003502C0"/>
    <w:rsid w:val="00350D71"/>
    <w:rsid w:val="00350DC1"/>
    <w:rsid w:val="00352088"/>
    <w:rsid w:val="00352C73"/>
    <w:rsid w:val="003545E7"/>
    <w:rsid w:val="00356461"/>
    <w:rsid w:val="00356B21"/>
    <w:rsid w:val="003572C6"/>
    <w:rsid w:val="00361271"/>
    <w:rsid w:val="0036214D"/>
    <w:rsid w:val="00363AE8"/>
    <w:rsid w:val="003642B9"/>
    <w:rsid w:val="003646BE"/>
    <w:rsid w:val="00365729"/>
    <w:rsid w:val="003668B6"/>
    <w:rsid w:val="003678DF"/>
    <w:rsid w:val="00367AEE"/>
    <w:rsid w:val="00371BB8"/>
    <w:rsid w:val="00372278"/>
    <w:rsid w:val="0037242B"/>
    <w:rsid w:val="00373CA9"/>
    <w:rsid w:val="003745F3"/>
    <w:rsid w:val="00374FF7"/>
    <w:rsid w:val="00376210"/>
    <w:rsid w:val="00376A19"/>
    <w:rsid w:val="0037719F"/>
    <w:rsid w:val="003771AA"/>
    <w:rsid w:val="003773BD"/>
    <w:rsid w:val="003801A4"/>
    <w:rsid w:val="0038035D"/>
    <w:rsid w:val="003818D5"/>
    <w:rsid w:val="00381F00"/>
    <w:rsid w:val="00382447"/>
    <w:rsid w:val="00387D07"/>
    <w:rsid w:val="00392EA5"/>
    <w:rsid w:val="00393CF5"/>
    <w:rsid w:val="00393F55"/>
    <w:rsid w:val="00394FD4"/>
    <w:rsid w:val="003952E6"/>
    <w:rsid w:val="00397BB3"/>
    <w:rsid w:val="00397C8E"/>
    <w:rsid w:val="00397D61"/>
    <w:rsid w:val="003A0626"/>
    <w:rsid w:val="003A0C05"/>
    <w:rsid w:val="003A36A6"/>
    <w:rsid w:val="003A3A39"/>
    <w:rsid w:val="003A42AA"/>
    <w:rsid w:val="003A4B6B"/>
    <w:rsid w:val="003A6138"/>
    <w:rsid w:val="003A6A3E"/>
    <w:rsid w:val="003A6E0C"/>
    <w:rsid w:val="003B0DC0"/>
    <w:rsid w:val="003B1206"/>
    <w:rsid w:val="003B1E81"/>
    <w:rsid w:val="003B41D1"/>
    <w:rsid w:val="003B50E0"/>
    <w:rsid w:val="003B7876"/>
    <w:rsid w:val="003C0A4D"/>
    <w:rsid w:val="003C0F92"/>
    <w:rsid w:val="003C2F18"/>
    <w:rsid w:val="003C3505"/>
    <w:rsid w:val="003C41CB"/>
    <w:rsid w:val="003C4A17"/>
    <w:rsid w:val="003C616D"/>
    <w:rsid w:val="003C6A27"/>
    <w:rsid w:val="003C7DC2"/>
    <w:rsid w:val="003D02F5"/>
    <w:rsid w:val="003D2C51"/>
    <w:rsid w:val="003D3325"/>
    <w:rsid w:val="003D38D9"/>
    <w:rsid w:val="003D5A17"/>
    <w:rsid w:val="003D610D"/>
    <w:rsid w:val="003D6637"/>
    <w:rsid w:val="003D7794"/>
    <w:rsid w:val="003D7D0B"/>
    <w:rsid w:val="003E0C8A"/>
    <w:rsid w:val="003E12C6"/>
    <w:rsid w:val="003E2762"/>
    <w:rsid w:val="003E460D"/>
    <w:rsid w:val="003E522B"/>
    <w:rsid w:val="003E5F0B"/>
    <w:rsid w:val="003E7789"/>
    <w:rsid w:val="003F0136"/>
    <w:rsid w:val="003F26C5"/>
    <w:rsid w:val="003F4D41"/>
    <w:rsid w:val="003F5514"/>
    <w:rsid w:val="003F5C45"/>
    <w:rsid w:val="003F5E22"/>
    <w:rsid w:val="00400F1D"/>
    <w:rsid w:val="00401B78"/>
    <w:rsid w:val="00401CA2"/>
    <w:rsid w:val="00402D4D"/>
    <w:rsid w:val="00403EF5"/>
    <w:rsid w:val="00406399"/>
    <w:rsid w:val="00410B25"/>
    <w:rsid w:val="004116FD"/>
    <w:rsid w:val="00411771"/>
    <w:rsid w:val="00411BE3"/>
    <w:rsid w:val="0041239B"/>
    <w:rsid w:val="00412456"/>
    <w:rsid w:val="004124C1"/>
    <w:rsid w:val="00412954"/>
    <w:rsid w:val="00413497"/>
    <w:rsid w:val="00413BC0"/>
    <w:rsid w:val="00414475"/>
    <w:rsid w:val="00415D2F"/>
    <w:rsid w:val="0041655F"/>
    <w:rsid w:val="0042325B"/>
    <w:rsid w:val="00423992"/>
    <w:rsid w:val="00424812"/>
    <w:rsid w:val="00424A38"/>
    <w:rsid w:val="0042500C"/>
    <w:rsid w:val="0042503B"/>
    <w:rsid w:val="0042516E"/>
    <w:rsid w:val="0042570D"/>
    <w:rsid w:val="004279D2"/>
    <w:rsid w:val="00427FDB"/>
    <w:rsid w:val="00430667"/>
    <w:rsid w:val="00431593"/>
    <w:rsid w:val="00431606"/>
    <w:rsid w:val="004318D6"/>
    <w:rsid w:val="00431A63"/>
    <w:rsid w:val="00433457"/>
    <w:rsid w:val="0043486B"/>
    <w:rsid w:val="0043714D"/>
    <w:rsid w:val="004376BB"/>
    <w:rsid w:val="00437B30"/>
    <w:rsid w:val="004400AD"/>
    <w:rsid w:val="004413EC"/>
    <w:rsid w:val="00441998"/>
    <w:rsid w:val="00441D0A"/>
    <w:rsid w:val="00441D16"/>
    <w:rsid w:val="004431B7"/>
    <w:rsid w:val="00443853"/>
    <w:rsid w:val="00443FC2"/>
    <w:rsid w:val="004445A5"/>
    <w:rsid w:val="00444ABC"/>
    <w:rsid w:val="004465C6"/>
    <w:rsid w:val="004468F3"/>
    <w:rsid w:val="00447463"/>
    <w:rsid w:val="004476F9"/>
    <w:rsid w:val="0044783F"/>
    <w:rsid w:val="004503B1"/>
    <w:rsid w:val="00450509"/>
    <w:rsid w:val="00451315"/>
    <w:rsid w:val="004516ED"/>
    <w:rsid w:val="0045193A"/>
    <w:rsid w:val="00451B74"/>
    <w:rsid w:val="00453BF4"/>
    <w:rsid w:val="00454C16"/>
    <w:rsid w:val="0045511B"/>
    <w:rsid w:val="004558DA"/>
    <w:rsid w:val="00457904"/>
    <w:rsid w:val="00461280"/>
    <w:rsid w:val="0046130F"/>
    <w:rsid w:val="00462D9E"/>
    <w:rsid w:val="004648B6"/>
    <w:rsid w:val="004652D2"/>
    <w:rsid w:val="00465E24"/>
    <w:rsid w:val="00470F1C"/>
    <w:rsid w:val="0047216F"/>
    <w:rsid w:val="0047245A"/>
    <w:rsid w:val="0047281D"/>
    <w:rsid w:val="00472ACC"/>
    <w:rsid w:val="0047304A"/>
    <w:rsid w:val="00477658"/>
    <w:rsid w:val="00481021"/>
    <w:rsid w:val="00482EA5"/>
    <w:rsid w:val="00483A2C"/>
    <w:rsid w:val="00484D6C"/>
    <w:rsid w:val="00486D1D"/>
    <w:rsid w:val="004878A0"/>
    <w:rsid w:val="004905DD"/>
    <w:rsid w:val="00494231"/>
    <w:rsid w:val="004947FF"/>
    <w:rsid w:val="00494ACD"/>
    <w:rsid w:val="00494DC1"/>
    <w:rsid w:val="00494E68"/>
    <w:rsid w:val="00496415"/>
    <w:rsid w:val="00496586"/>
    <w:rsid w:val="00496C01"/>
    <w:rsid w:val="004978A4"/>
    <w:rsid w:val="00497C5C"/>
    <w:rsid w:val="004A0D06"/>
    <w:rsid w:val="004A1B6B"/>
    <w:rsid w:val="004A1DB5"/>
    <w:rsid w:val="004A2422"/>
    <w:rsid w:val="004A251C"/>
    <w:rsid w:val="004A465E"/>
    <w:rsid w:val="004A4BD6"/>
    <w:rsid w:val="004A5E59"/>
    <w:rsid w:val="004A6148"/>
    <w:rsid w:val="004A75CE"/>
    <w:rsid w:val="004B234A"/>
    <w:rsid w:val="004B3CE4"/>
    <w:rsid w:val="004B4919"/>
    <w:rsid w:val="004B7F08"/>
    <w:rsid w:val="004B7F5F"/>
    <w:rsid w:val="004C0186"/>
    <w:rsid w:val="004C252C"/>
    <w:rsid w:val="004C415E"/>
    <w:rsid w:val="004C5CDE"/>
    <w:rsid w:val="004C602D"/>
    <w:rsid w:val="004C65F9"/>
    <w:rsid w:val="004C74C2"/>
    <w:rsid w:val="004C76A9"/>
    <w:rsid w:val="004C77B9"/>
    <w:rsid w:val="004D0153"/>
    <w:rsid w:val="004D09A2"/>
    <w:rsid w:val="004D0E7D"/>
    <w:rsid w:val="004D15FE"/>
    <w:rsid w:val="004D267D"/>
    <w:rsid w:val="004D2FF1"/>
    <w:rsid w:val="004D6B32"/>
    <w:rsid w:val="004D7785"/>
    <w:rsid w:val="004D78BB"/>
    <w:rsid w:val="004D7CFE"/>
    <w:rsid w:val="004E05DD"/>
    <w:rsid w:val="004E0B1D"/>
    <w:rsid w:val="004E0B21"/>
    <w:rsid w:val="004E182D"/>
    <w:rsid w:val="004E2662"/>
    <w:rsid w:val="004E74BE"/>
    <w:rsid w:val="004E7935"/>
    <w:rsid w:val="004F08CF"/>
    <w:rsid w:val="004F1724"/>
    <w:rsid w:val="004F2525"/>
    <w:rsid w:val="004F2B64"/>
    <w:rsid w:val="004F4B75"/>
    <w:rsid w:val="00500231"/>
    <w:rsid w:val="00501054"/>
    <w:rsid w:val="0050141C"/>
    <w:rsid w:val="00503317"/>
    <w:rsid w:val="0050480D"/>
    <w:rsid w:val="0050485A"/>
    <w:rsid w:val="00504BCF"/>
    <w:rsid w:val="00505709"/>
    <w:rsid w:val="005111B6"/>
    <w:rsid w:val="005112F8"/>
    <w:rsid w:val="00511B8C"/>
    <w:rsid w:val="00515039"/>
    <w:rsid w:val="00516FD0"/>
    <w:rsid w:val="00520E0E"/>
    <w:rsid w:val="0052297A"/>
    <w:rsid w:val="00523A78"/>
    <w:rsid w:val="00524025"/>
    <w:rsid w:val="00525074"/>
    <w:rsid w:val="005267F5"/>
    <w:rsid w:val="00530745"/>
    <w:rsid w:val="00530920"/>
    <w:rsid w:val="00530ABD"/>
    <w:rsid w:val="005319DA"/>
    <w:rsid w:val="0053223F"/>
    <w:rsid w:val="00532613"/>
    <w:rsid w:val="0053263F"/>
    <w:rsid w:val="00534FD2"/>
    <w:rsid w:val="00535420"/>
    <w:rsid w:val="00535F3D"/>
    <w:rsid w:val="00537E9D"/>
    <w:rsid w:val="00540D56"/>
    <w:rsid w:val="00540FC8"/>
    <w:rsid w:val="005429D0"/>
    <w:rsid w:val="00543C41"/>
    <w:rsid w:val="00543D0D"/>
    <w:rsid w:val="005440B1"/>
    <w:rsid w:val="00544FC1"/>
    <w:rsid w:val="00545767"/>
    <w:rsid w:val="0054659E"/>
    <w:rsid w:val="00547050"/>
    <w:rsid w:val="00547077"/>
    <w:rsid w:val="00547EE7"/>
    <w:rsid w:val="00550B7E"/>
    <w:rsid w:val="00550C23"/>
    <w:rsid w:val="00550DBE"/>
    <w:rsid w:val="00551920"/>
    <w:rsid w:val="00551D37"/>
    <w:rsid w:val="005520C3"/>
    <w:rsid w:val="0055669A"/>
    <w:rsid w:val="00561717"/>
    <w:rsid w:val="00561D82"/>
    <w:rsid w:val="005636C6"/>
    <w:rsid w:val="005639DA"/>
    <w:rsid w:val="00563CA0"/>
    <w:rsid w:val="005662BF"/>
    <w:rsid w:val="00566E9E"/>
    <w:rsid w:val="00567477"/>
    <w:rsid w:val="005731AF"/>
    <w:rsid w:val="00573905"/>
    <w:rsid w:val="00573940"/>
    <w:rsid w:val="0057460D"/>
    <w:rsid w:val="005753FC"/>
    <w:rsid w:val="005764BE"/>
    <w:rsid w:val="005822C2"/>
    <w:rsid w:val="0058307B"/>
    <w:rsid w:val="005833A1"/>
    <w:rsid w:val="00583FF6"/>
    <w:rsid w:val="005856AF"/>
    <w:rsid w:val="005862FE"/>
    <w:rsid w:val="00586D97"/>
    <w:rsid w:val="005877A3"/>
    <w:rsid w:val="00587C01"/>
    <w:rsid w:val="00587CDF"/>
    <w:rsid w:val="00594574"/>
    <w:rsid w:val="00594CDA"/>
    <w:rsid w:val="00595526"/>
    <w:rsid w:val="0059579D"/>
    <w:rsid w:val="005959C5"/>
    <w:rsid w:val="00596214"/>
    <w:rsid w:val="005962EF"/>
    <w:rsid w:val="005967CC"/>
    <w:rsid w:val="00596DAB"/>
    <w:rsid w:val="005A01EC"/>
    <w:rsid w:val="005A0296"/>
    <w:rsid w:val="005A031C"/>
    <w:rsid w:val="005A0EA5"/>
    <w:rsid w:val="005A1588"/>
    <w:rsid w:val="005A1E3B"/>
    <w:rsid w:val="005A2086"/>
    <w:rsid w:val="005A213D"/>
    <w:rsid w:val="005A2901"/>
    <w:rsid w:val="005A3189"/>
    <w:rsid w:val="005A38DC"/>
    <w:rsid w:val="005A398F"/>
    <w:rsid w:val="005A45DC"/>
    <w:rsid w:val="005A4BD7"/>
    <w:rsid w:val="005A5A47"/>
    <w:rsid w:val="005A6277"/>
    <w:rsid w:val="005B2BC4"/>
    <w:rsid w:val="005B4A84"/>
    <w:rsid w:val="005B5223"/>
    <w:rsid w:val="005B5FB1"/>
    <w:rsid w:val="005B7296"/>
    <w:rsid w:val="005C076B"/>
    <w:rsid w:val="005C18FC"/>
    <w:rsid w:val="005C1FA1"/>
    <w:rsid w:val="005C21C7"/>
    <w:rsid w:val="005C3198"/>
    <w:rsid w:val="005C3E68"/>
    <w:rsid w:val="005C4011"/>
    <w:rsid w:val="005C474F"/>
    <w:rsid w:val="005C4F2E"/>
    <w:rsid w:val="005C5B20"/>
    <w:rsid w:val="005D1170"/>
    <w:rsid w:val="005D1507"/>
    <w:rsid w:val="005D2E02"/>
    <w:rsid w:val="005D3382"/>
    <w:rsid w:val="005D4C5D"/>
    <w:rsid w:val="005D4DED"/>
    <w:rsid w:val="005D58C6"/>
    <w:rsid w:val="005E0886"/>
    <w:rsid w:val="005E2876"/>
    <w:rsid w:val="005E307B"/>
    <w:rsid w:val="005E5894"/>
    <w:rsid w:val="005E6134"/>
    <w:rsid w:val="005E6B02"/>
    <w:rsid w:val="005F08BD"/>
    <w:rsid w:val="005F2469"/>
    <w:rsid w:val="005F2D9A"/>
    <w:rsid w:val="005F3782"/>
    <w:rsid w:val="005F3B6E"/>
    <w:rsid w:val="005F42E5"/>
    <w:rsid w:val="005F5416"/>
    <w:rsid w:val="005F5FF2"/>
    <w:rsid w:val="005F6C00"/>
    <w:rsid w:val="005F71FB"/>
    <w:rsid w:val="0060045C"/>
    <w:rsid w:val="00600E5E"/>
    <w:rsid w:val="00603C8B"/>
    <w:rsid w:val="0060411C"/>
    <w:rsid w:val="0060545D"/>
    <w:rsid w:val="006054CF"/>
    <w:rsid w:val="00605610"/>
    <w:rsid w:val="00605713"/>
    <w:rsid w:val="006061C7"/>
    <w:rsid w:val="00613169"/>
    <w:rsid w:val="00614B84"/>
    <w:rsid w:val="00615351"/>
    <w:rsid w:val="00615BA3"/>
    <w:rsid w:val="00617F56"/>
    <w:rsid w:val="00620495"/>
    <w:rsid w:val="00620714"/>
    <w:rsid w:val="00620933"/>
    <w:rsid w:val="00620BC4"/>
    <w:rsid w:val="0062171C"/>
    <w:rsid w:val="00622B69"/>
    <w:rsid w:val="0062360E"/>
    <w:rsid w:val="006245A2"/>
    <w:rsid w:val="0062473D"/>
    <w:rsid w:val="00625AD4"/>
    <w:rsid w:val="0062665A"/>
    <w:rsid w:val="0062681C"/>
    <w:rsid w:val="00626AE4"/>
    <w:rsid w:val="0063156F"/>
    <w:rsid w:val="00631E4A"/>
    <w:rsid w:val="00633309"/>
    <w:rsid w:val="00633CAC"/>
    <w:rsid w:val="0063463A"/>
    <w:rsid w:val="006371C6"/>
    <w:rsid w:val="00640DBF"/>
    <w:rsid w:val="006435D0"/>
    <w:rsid w:val="00643BE7"/>
    <w:rsid w:val="0064456B"/>
    <w:rsid w:val="00647826"/>
    <w:rsid w:val="00650BB0"/>
    <w:rsid w:val="006510EA"/>
    <w:rsid w:val="006523F4"/>
    <w:rsid w:val="00652A2D"/>
    <w:rsid w:val="00652CC8"/>
    <w:rsid w:val="00654CCE"/>
    <w:rsid w:val="00655CC2"/>
    <w:rsid w:val="00657297"/>
    <w:rsid w:val="00660AD8"/>
    <w:rsid w:val="006611C6"/>
    <w:rsid w:val="006617ED"/>
    <w:rsid w:val="00662C9E"/>
    <w:rsid w:val="006656A3"/>
    <w:rsid w:val="00665FFC"/>
    <w:rsid w:val="006710FA"/>
    <w:rsid w:val="00673AA8"/>
    <w:rsid w:val="00673AEE"/>
    <w:rsid w:val="00673EF1"/>
    <w:rsid w:val="00674CFD"/>
    <w:rsid w:val="00675871"/>
    <w:rsid w:val="00676381"/>
    <w:rsid w:val="00676451"/>
    <w:rsid w:val="00676845"/>
    <w:rsid w:val="00676942"/>
    <w:rsid w:val="00677C0A"/>
    <w:rsid w:val="0068154C"/>
    <w:rsid w:val="00681AD7"/>
    <w:rsid w:val="00681B64"/>
    <w:rsid w:val="00681F7A"/>
    <w:rsid w:val="00683595"/>
    <w:rsid w:val="00683786"/>
    <w:rsid w:val="0068413F"/>
    <w:rsid w:val="00684530"/>
    <w:rsid w:val="00684681"/>
    <w:rsid w:val="00684FD2"/>
    <w:rsid w:val="006859D7"/>
    <w:rsid w:val="0068623D"/>
    <w:rsid w:val="006864FE"/>
    <w:rsid w:val="00690369"/>
    <w:rsid w:val="006907C6"/>
    <w:rsid w:val="00690A8D"/>
    <w:rsid w:val="006910A6"/>
    <w:rsid w:val="00691218"/>
    <w:rsid w:val="00691681"/>
    <w:rsid w:val="00692146"/>
    <w:rsid w:val="006930AA"/>
    <w:rsid w:val="00694355"/>
    <w:rsid w:val="00694367"/>
    <w:rsid w:val="006975E3"/>
    <w:rsid w:val="00697ED7"/>
    <w:rsid w:val="006A1397"/>
    <w:rsid w:val="006A1805"/>
    <w:rsid w:val="006A328E"/>
    <w:rsid w:val="006A3D6F"/>
    <w:rsid w:val="006A4AD3"/>
    <w:rsid w:val="006A4DBC"/>
    <w:rsid w:val="006A50E4"/>
    <w:rsid w:val="006A5955"/>
    <w:rsid w:val="006A7072"/>
    <w:rsid w:val="006B07AD"/>
    <w:rsid w:val="006B08B5"/>
    <w:rsid w:val="006B152A"/>
    <w:rsid w:val="006B1EBC"/>
    <w:rsid w:val="006B280B"/>
    <w:rsid w:val="006B3D04"/>
    <w:rsid w:val="006B6B93"/>
    <w:rsid w:val="006B7252"/>
    <w:rsid w:val="006B7759"/>
    <w:rsid w:val="006C0B7B"/>
    <w:rsid w:val="006C2578"/>
    <w:rsid w:val="006C33B6"/>
    <w:rsid w:val="006C37CA"/>
    <w:rsid w:val="006C56D6"/>
    <w:rsid w:val="006C7811"/>
    <w:rsid w:val="006D32F4"/>
    <w:rsid w:val="006D3EFF"/>
    <w:rsid w:val="006D43A3"/>
    <w:rsid w:val="006D4AEE"/>
    <w:rsid w:val="006D6033"/>
    <w:rsid w:val="006D6CD2"/>
    <w:rsid w:val="006E0F3F"/>
    <w:rsid w:val="006E25ED"/>
    <w:rsid w:val="006E2603"/>
    <w:rsid w:val="006E3B33"/>
    <w:rsid w:val="006E7B44"/>
    <w:rsid w:val="006F2377"/>
    <w:rsid w:val="006F3F9E"/>
    <w:rsid w:val="006F44CF"/>
    <w:rsid w:val="006F4BAE"/>
    <w:rsid w:val="006F5695"/>
    <w:rsid w:val="006F57F0"/>
    <w:rsid w:val="006F67EE"/>
    <w:rsid w:val="006F6F62"/>
    <w:rsid w:val="006F7018"/>
    <w:rsid w:val="006F7812"/>
    <w:rsid w:val="0070149E"/>
    <w:rsid w:val="0070188C"/>
    <w:rsid w:val="00702469"/>
    <w:rsid w:val="007025D9"/>
    <w:rsid w:val="00702793"/>
    <w:rsid w:val="00702F61"/>
    <w:rsid w:val="007036AD"/>
    <w:rsid w:val="007056CD"/>
    <w:rsid w:val="00705865"/>
    <w:rsid w:val="00706C12"/>
    <w:rsid w:val="007105E9"/>
    <w:rsid w:val="007112F4"/>
    <w:rsid w:val="00711895"/>
    <w:rsid w:val="007129DD"/>
    <w:rsid w:val="00713111"/>
    <w:rsid w:val="00713F4C"/>
    <w:rsid w:val="00714F7F"/>
    <w:rsid w:val="007152F3"/>
    <w:rsid w:val="00715A8C"/>
    <w:rsid w:val="0071606C"/>
    <w:rsid w:val="00716DA9"/>
    <w:rsid w:val="007241F0"/>
    <w:rsid w:val="00726278"/>
    <w:rsid w:val="00726470"/>
    <w:rsid w:val="0072722F"/>
    <w:rsid w:val="0073012A"/>
    <w:rsid w:val="00730A94"/>
    <w:rsid w:val="007322A2"/>
    <w:rsid w:val="00732DB9"/>
    <w:rsid w:val="007353A4"/>
    <w:rsid w:val="00735435"/>
    <w:rsid w:val="00735600"/>
    <w:rsid w:val="0073590D"/>
    <w:rsid w:val="00736846"/>
    <w:rsid w:val="00736921"/>
    <w:rsid w:val="00741811"/>
    <w:rsid w:val="00742820"/>
    <w:rsid w:val="00742ABC"/>
    <w:rsid w:val="007443E4"/>
    <w:rsid w:val="00744973"/>
    <w:rsid w:val="00744CCB"/>
    <w:rsid w:val="00745E19"/>
    <w:rsid w:val="00746646"/>
    <w:rsid w:val="00750394"/>
    <w:rsid w:val="00750451"/>
    <w:rsid w:val="007504D7"/>
    <w:rsid w:val="007527D3"/>
    <w:rsid w:val="00754A46"/>
    <w:rsid w:val="00756738"/>
    <w:rsid w:val="00757562"/>
    <w:rsid w:val="0076150A"/>
    <w:rsid w:val="0076267B"/>
    <w:rsid w:val="0076302A"/>
    <w:rsid w:val="00763BCF"/>
    <w:rsid w:val="00764144"/>
    <w:rsid w:val="00765A9F"/>
    <w:rsid w:val="00765FC2"/>
    <w:rsid w:val="007669B6"/>
    <w:rsid w:val="0076797B"/>
    <w:rsid w:val="0077061F"/>
    <w:rsid w:val="00770B90"/>
    <w:rsid w:val="00770FAF"/>
    <w:rsid w:val="00772265"/>
    <w:rsid w:val="0077630A"/>
    <w:rsid w:val="00776F33"/>
    <w:rsid w:val="007828AD"/>
    <w:rsid w:val="0078519F"/>
    <w:rsid w:val="0078546D"/>
    <w:rsid w:val="00787482"/>
    <w:rsid w:val="007908D8"/>
    <w:rsid w:val="00790D33"/>
    <w:rsid w:val="00791044"/>
    <w:rsid w:val="007914E6"/>
    <w:rsid w:val="0079286F"/>
    <w:rsid w:val="00794EC9"/>
    <w:rsid w:val="00795B2F"/>
    <w:rsid w:val="00795E9E"/>
    <w:rsid w:val="007A27B8"/>
    <w:rsid w:val="007A2CC7"/>
    <w:rsid w:val="007A33E0"/>
    <w:rsid w:val="007A365F"/>
    <w:rsid w:val="007A3BC8"/>
    <w:rsid w:val="007A4164"/>
    <w:rsid w:val="007A5825"/>
    <w:rsid w:val="007A7D56"/>
    <w:rsid w:val="007A7FBB"/>
    <w:rsid w:val="007B1DA3"/>
    <w:rsid w:val="007B41EC"/>
    <w:rsid w:val="007B42F3"/>
    <w:rsid w:val="007B4378"/>
    <w:rsid w:val="007B586B"/>
    <w:rsid w:val="007B5C9E"/>
    <w:rsid w:val="007B6AE8"/>
    <w:rsid w:val="007B6FC1"/>
    <w:rsid w:val="007C0148"/>
    <w:rsid w:val="007C14CB"/>
    <w:rsid w:val="007C1EE1"/>
    <w:rsid w:val="007C37C3"/>
    <w:rsid w:val="007C3F78"/>
    <w:rsid w:val="007C553D"/>
    <w:rsid w:val="007C583E"/>
    <w:rsid w:val="007C658F"/>
    <w:rsid w:val="007C7184"/>
    <w:rsid w:val="007C7C46"/>
    <w:rsid w:val="007D1D40"/>
    <w:rsid w:val="007D1DF3"/>
    <w:rsid w:val="007D2DB5"/>
    <w:rsid w:val="007D35C6"/>
    <w:rsid w:val="007D377B"/>
    <w:rsid w:val="007D5E0C"/>
    <w:rsid w:val="007D7E37"/>
    <w:rsid w:val="007E01C2"/>
    <w:rsid w:val="007E04AE"/>
    <w:rsid w:val="007E0A73"/>
    <w:rsid w:val="007E2241"/>
    <w:rsid w:val="007E3EDB"/>
    <w:rsid w:val="007E50E8"/>
    <w:rsid w:val="007E6BF8"/>
    <w:rsid w:val="007F0085"/>
    <w:rsid w:val="007F1595"/>
    <w:rsid w:val="007F19A1"/>
    <w:rsid w:val="007F1C57"/>
    <w:rsid w:val="007F213D"/>
    <w:rsid w:val="007F6248"/>
    <w:rsid w:val="007F7700"/>
    <w:rsid w:val="00800605"/>
    <w:rsid w:val="00802AC0"/>
    <w:rsid w:val="0080389A"/>
    <w:rsid w:val="008056B5"/>
    <w:rsid w:val="00807845"/>
    <w:rsid w:val="00811557"/>
    <w:rsid w:val="0081162E"/>
    <w:rsid w:val="00812794"/>
    <w:rsid w:val="00812E85"/>
    <w:rsid w:val="00812FB7"/>
    <w:rsid w:val="0081373A"/>
    <w:rsid w:val="00817E65"/>
    <w:rsid w:val="00817FD7"/>
    <w:rsid w:val="0082011E"/>
    <w:rsid w:val="008209FF"/>
    <w:rsid w:val="008215B5"/>
    <w:rsid w:val="00823130"/>
    <w:rsid w:val="00824DE0"/>
    <w:rsid w:val="00825667"/>
    <w:rsid w:val="008256A0"/>
    <w:rsid w:val="0082619D"/>
    <w:rsid w:val="0082756E"/>
    <w:rsid w:val="00827D3D"/>
    <w:rsid w:val="00831F95"/>
    <w:rsid w:val="00832B2B"/>
    <w:rsid w:val="00833329"/>
    <w:rsid w:val="0083337F"/>
    <w:rsid w:val="008334A9"/>
    <w:rsid w:val="00834EE1"/>
    <w:rsid w:val="00835B20"/>
    <w:rsid w:val="00836895"/>
    <w:rsid w:val="00840663"/>
    <w:rsid w:val="00841CB7"/>
    <w:rsid w:val="00843131"/>
    <w:rsid w:val="00847161"/>
    <w:rsid w:val="00850235"/>
    <w:rsid w:val="008513F1"/>
    <w:rsid w:val="00852136"/>
    <w:rsid w:val="00852466"/>
    <w:rsid w:val="008532E5"/>
    <w:rsid w:val="008557C1"/>
    <w:rsid w:val="00860279"/>
    <w:rsid w:val="00861E46"/>
    <w:rsid w:val="008630B4"/>
    <w:rsid w:val="0086324D"/>
    <w:rsid w:val="00863C82"/>
    <w:rsid w:val="00863CEA"/>
    <w:rsid w:val="0086484F"/>
    <w:rsid w:val="00865124"/>
    <w:rsid w:val="008655BA"/>
    <w:rsid w:val="00867427"/>
    <w:rsid w:val="008675EB"/>
    <w:rsid w:val="00867D55"/>
    <w:rsid w:val="00867E65"/>
    <w:rsid w:val="0087019D"/>
    <w:rsid w:val="00871282"/>
    <w:rsid w:val="00872A6C"/>
    <w:rsid w:val="008730AA"/>
    <w:rsid w:val="00873100"/>
    <w:rsid w:val="00876F24"/>
    <w:rsid w:val="00877D20"/>
    <w:rsid w:val="00877D65"/>
    <w:rsid w:val="00881FD7"/>
    <w:rsid w:val="008833F2"/>
    <w:rsid w:val="00883B7C"/>
    <w:rsid w:val="00885035"/>
    <w:rsid w:val="0088561F"/>
    <w:rsid w:val="008866A2"/>
    <w:rsid w:val="00891568"/>
    <w:rsid w:val="00891569"/>
    <w:rsid w:val="00892B61"/>
    <w:rsid w:val="008930AD"/>
    <w:rsid w:val="0089546E"/>
    <w:rsid w:val="0089587D"/>
    <w:rsid w:val="00895C77"/>
    <w:rsid w:val="008968DA"/>
    <w:rsid w:val="0089744D"/>
    <w:rsid w:val="00897547"/>
    <w:rsid w:val="008A05CF"/>
    <w:rsid w:val="008A0E00"/>
    <w:rsid w:val="008A346F"/>
    <w:rsid w:val="008A593C"/>
    <w:rsid w:val="008A64A8"/>
    <w:rsid w:val="008A6788"/>
    <w:rsid w:val="008A67D7"/>
    <w:rsid w:val="008A6BE9"/>
    <w:rsid w:val="008A727F"/>
    <w:rsid w:val="008B094B"/>
    <w:rsid w:val="008B349B"/>
    <w:rsid w:val="008B4041"/>
    <w:rsid w:val="008B4686"/>
    <w:rsid w:val="008B4FBD"/>
    <w:rsid w:val="008B537C"/>
    <w:rsid w:val="008B5C59"/>
    <w:rsid w:val="008B5D96"/>
    <w:rsid w:val="008B697B"/>
    <w:rsid w:val="008B739A"/>
    <w:rsid w:val="008C1775"/>
    <w:rsid w:val="008C2557"/>
    <w:rsid w:val="008C3072"/>
    <w:rsid w:val="008C3FE7"/>
    <w:rsid w:val="008C5131"/>
    <w:rsid w:val="008C5812"/>
    <w:rsid w:val="008C59E4"/>
    <w:rsid w:val="008D0C7F"/>
    <w:rsid w:val="008D15C0"/>
    <w:rsid w:val="008D1FA2"/>
    <w:rsid w:val="008D2722"/>
    <w:rsid w:val="008D3094"/>
    <w:rsid w:val="008D42DB"/>
    <w:rsid w:val="008D4A8F"/>
    <w:rsid w:val="008D546C"/>
    <w:rsid w:val="008D5C8B"/>
    <w:rsid w:val="008D6075"/>
    <w:rsid w:val="008D65C7"/>
    <w:rsid w:val="008D7A49"/>
    <w:rsid w:val="008E0A48"/>
    <w:rsid w:val="008E0ADA"/>
    <w:rsid w:val="008E1CF7"/>
    <w:rsid w:val="008E28DA"/>
    <w:rsid w:val="008E2A9F"/>
    <w:rsid w:val="008E3BB4"/>
    <w:rsid w:val="008E584D"/>
    <w:rsid w:val="008E5D82"/>
    <w:rsid w:val="008E7228"/>
    <w:rsid w:val="008E7805"/>
    <w:rsid w:val="008F043A"/>
    <w:rsid w:val="008F059B"/>
    <w:rsid w:val="008F23E2"/>
    <w:rsid w:val="008F2CDD"/>
    <w:rsid w:val="008F3270"/>
    <w:rsid w:val="008F3DC0"/>
    <w:rsid w:val="008F45DE"/>
    <w:rsid w:val="008F4F69"/>
    <w:rsid w:val="008F6684"/>
    <w:rsid w:val="008F799B"/>
    <w:rsid w:val="008F7AD4"/>
    <w:rsid w:val="009023F4"/>
    <w:rsid w:val="009024E4"/>
    <w:rsid w:val="009024F0"/>
    <w:rsid w:val="0090465B"/>
    <w:rsid w:val="009058C5"/>
    <w:rsid w:val="00905E0B"/>
    <w:rsid w:val="00907F82"/>
    <w:rsid w:val="00910169"/>
    <w:rsid w:val="00911C5C"/>
    <w:rsid w:val="009123F7"/>
    <w:rsid w:val="00914058"/>
    <w:rsid w:val="0091509A"/>
    <w:rsid w:val="009158D4"/>
    <w:rsid w:val="00920960"/>
    <w:rsid w:val="00920F56"/>
    <w:rsid w:val="00923FD3"/>
    <w:rsid w:val="00926007"/>
    <w:rsid w:val="00927B40"/>
    <w:rsid w:val="00927BA0"/>
    <w:rsid w:val="00930D68"/>
    <w:rsid w:val="00932424"/>
    <w:rsid w:val="0093271D"/>
    <w:rsid w:val="00934327"/>
    <w:rsid w:val="009346A8"/>
    <w:rsid w:val="00935623"/>
    <w:rsid w:val="00936B2F"/>
    <w:rsid w:val="00940128"/>
    <w:rsid w:val="009435C3"/>
    <w:rsid w:val="0094419B"/>
    <w:rsid w:val="009460BF"/>
    <w:rsid w:val="009463DE"/>
    <w:rsid w:val="009477DD"/>
    <w:rsid w:val="00950013"/>
    <w:rsid w:val="009503DF"/>
    <w:rsid w:val="00952F54"/>
    <w:rsid w:val="009541CC"/>
    <w:rsid w:val="00955D79"/>
    <w:rsid w:val="00957CC2"/>
    <w:rsid w:val="009600CB"/>
    <w:rsid w:val="00962F37"/>
    <w:rsid w:val="00963243"/>
    <w:rsid w:val="009636FC"/>
    <w:rsid w:val="00964325"/>
    <w:rsid w:val="00964814"/>
    <w:rsid w:val="00965C4E"/>
    <w:rsid w:val="00967947"/>
    <w:rsid w:val="009708CB"/>
    <w:rsid w:val="00971057"/>
    <w:rsid w:val="00971C18"/>
    <w:rsid w:val="0097248A"/>
    <w:rsid w:val="00972FE5"/>
    <w:rsid w:val="0097374D"/>
    <w:rsid w:val="009765E1"/>
    <w:rsid w:val="00976945"/>
    <w:rsid w:val="009772BD"/>
    <w:rsid w:val="00977608"/>
    <w:rsid w:val="00977B86"/>
    <w:rsid w:val="00980859"/>
    <w:rsid w:val="009809F9"/>
    <w:rsid w:val="00983FA3"/>
    <w:rsid w:val="009844D9"/>
    <w:rsid w:val="00984A95"/>
    <w:rsid w:val="00985C14"/>
    <w:rsid w:val="009870CB"/>
    <w:rsid w:val="009871F1"/>
    <w:rsid w:val="0098720E"/>
    <w:rsid w:val="00987C1F"/>
    <w:rsid w:val="00987FEA"/>
    <w:rsid w:val="009915AB"/>
    <w:rsid w:val="00992F46"/>
    <w:rsid w:val="00993246"/>
    <w:rsid w:val="00993BA2"/>
    <w:rsid w:val="00994191"/>
    <w:rsid w:val="00994597"/>
    <w:rsid w:val="00995607"/>
    <w:rsid w:val="009958E7"/>
    <w:rsid w:val="00995E80"/>
    <w:rsid w:val="00997EED"/>
    <w:rsid w:val="009A0311"/>
    <w:rsid w:val="009A1B6D"/>
    <w:rsid w:val="009A1CBC"/>
    <w:rsid w:val="009A2153"/>
    <w:rsid w:val="009A217D"/>
    <w:rsid w:val="009A243F"/>
    <w:rsid w:val="009A53EA"/>
    <w:rsid w:val="009A6048"/>
    <w:rsid w:val="009A64E9"/>
    <w:rsid w:val="009A6916"/>
    <w:rsid w:val="009A7118"/>
    <w:rsid w:val="009B0180"/>
    <w:rsid w:val="009B062F"/>
    <w:rsid w:val="009B077D"/>
    <w:rsid w:val="009B0A20"/>
    <w:rsid w:val="009B2498"/>
    <w:rsid w:val="009B2613"/>
    <w:rsid w:val="009B26E4"/>
    <w:rsid w:val="009B27DD"/>
    <w:rsid w:val="009B46FA"/>
    <w:rsid w:val="009B53D4"/>
    <w:rsid w:val="009B6EED"/>
    <w:rsid w:val="009B6FEE"/>
    <w:rsid w:val="009C0550"/>
    <w:rsid w:val="009C0738"/>
    <w:rsid w:val="009C1F5C"/>
    <w:rsid w:val="009C564D"/>
    <w:rsid w:val="009C5FFD"/>
    <w:rsid w:val="009C607F"/>
    <w:rsid w:val="009C650F"/>
    <w:rsid w:val="009C6BB3"/>
    <w:rsid w:val="009D0700"/>
    <w:rsid w:val="009D0C9C"/>
    <w:rsid w:val="009D24A3"/>
    <w:rsid w:val="009D385D"/>
    <w:rsid w:val="009D42E8"/>
    <w:rsid w:val="009D51BF"/>
    <w:rsid w:val="009D5522"/>
    <w:rsid w:val="009D6FD5"/>
    <w:rsid w:val="009D72CC"/>
    <w:rsid w:val="009D798D"/>
    <w:rsid w:val="009E1CAA"/>
    <w:rsid w:val="009E1E28"/>
    <w:rsid w:val="009E51E5"/>
    <w:rsid w:val="009E5D2C"/>
    <w:rsid w:val="009E7A61"/>
    <w:rsid w:val="009F0183"/>
    <w:rsid w:val="009F0AA2"/>
    <w:rsid w:val="009F24F3"/>
    <w:rsid w:val="009F2674"/>
    <w:rsid w:val="009F2704"/>
    <w:rsid w:val="009F4120"/>
    <w:rsid w:val="009F4DB3"/>
    <w:rsid w:val="009F50CE"/>
    <w:rsid w:val="009F6B94"/>
    <w:rsid w:val="009F715F"/>
    <w:rsid w:val="009F7247"/>
    <w:rsid w:val="009F7E43"/>
    <w:rsid w:val="00A01BD7"/>
    <w:rsid w:val="00A024AF"/>
    <w:rsid w:val="00A03519"/>
    <w:rsid w:val="00A03D77"/>
    <w:rsid w:val="00A04316"/>
    <w:rsid w:val="00A05984"/>
    <w:rsid w:val="00A06AD9"/>
    <w:rsid w:val="00A10394"/>
    <w:rsid w:val="00A12B3E"/>
    <w:rsid w:val="00A13027"/>
    <w:rsid w:val="00A14879"/>
    <w:rsid w:val="00A15601"/>
    <w:rsid w:val="00A17966"/>
    <w:rsid w:val="00A2015F"/>
    <w:rsid w:val="00A21CDB"/>
    <w:rsid w:val="00A23E50"/>
    <w:rsid w:val="00A260E1"/>
    <w:rsid w:val="00A2611E"/>
    <w:rsid w:val="00A26238"/>
    <w:rsid w:val="00A26363"/>
    <w:rsid w:val="00A27649"/>
    <w:rsid w:val="00A2798F"/>
    <w:rsid w:val="00A323D7"/>
    <w:rsid w:val="00A33531"/>
    <w:rsid w:val="00A33E2C"/>
    <w:rsid w:val="00A34488"/>
    <w:rsid w:val="00A36FB4"/>
    <w:rsid w:val="00A4062D"/>
    <w:rsid w:val="00A40DBF"/>
    <w:rsid w:val="00A41B39"/>
    <w:rsid w:val="00A42569"/>
    <w:rsid w:val="00A4267D"/>
    <w:rsid w:val="00A43170"/>
    <w:rsid w:val="00A44076"/>
    <w:rsid w:val="00A5058C"/>
    <w:rsid w:val="00A51E4B"/>
    <w:rsid w:val="00A52E17"/>
    <w:rsid w:val="00A53266"/>
    <w:rsid w:val="00A5411B"/>
    <w:rsid w:val="00A542B0"/>
    <w:rsid w:val="00A545D7"/>
    <w:rsid w:val="00A5460A"/>
    <w:rsid w:val="00A55D16"/>
    <w:rsid w:val="00A57B93"/>
    <w:rsid w:val="00A57DDF"/>
    <w:rsid w:val="00A623AC"/>
    <w:rsid w:val="00A6245E"/>
    <w:rsid w:val="00A625A1"/>
    <w:rsid w:val="00A62B88"/>
    <w:rsid w:val="00A63146"/>
    <w:rsid w:val="00A64A1D"/>
    <w:rsid w:val="00A65A13"/>
    <w:rsid w:val="00A6673C"/>
    <w:rsid w:val="00A67231"/>
    <w:rsid w:val="00A6737D"/>
    <w:rsid w:val="00A675E5"/>
    <w:rsid w:val="00A67FC8"/>
    <w:rsid w:val="00A70848"/>
    <w:rsid w:val="00A71193"/>
    <w:rsid w:val="00A7254C"/>
    <w:rsid w:val="00A740C7"/>
    <w:rsid w:val="00A745E1"/>
    <w:rsid w:val="00A74737"/>
    <w:rsid w:val="00A74F9F"/>
    <w:rsid w:val="00A756A8"/>
    <w:rsid w:val="00A75A14"/>
    <w:rsid w:val="00A76033"/>
    <w:rsid w:val="00A76839"/>
    <w:rsid w:val="00A776D5"/>
    <w:rsid w:val="00A7789B"/>
    <w:rsid w:val="00A80666"/>
    <w:rsid w:val="00A82AC1"/>
    <w:rsid w:val="00A83BB3"/>
    <w:rsid w:val="00A86427"/>
    <w:rsid w:val="00A878EF"/>
    <w:rsid w:val="00A921B1"/>
    <w:rsid w:val="00A9599C"/>
    <w:rsid w:val="00A97742"/>
    <w:rsid w:val="00A97A11"/>
    <w:rsid w:val="00A97DE6"/>
    <w:rsid w:val="00AA0D0A"/>
    <w:rsid w:val="00AA0FC5"/>
    <w:rsid w:val="00AA15DA"/>
    <w:rsid w:val="00AA16DA"/>
    <w:rsid w:val="00AA1985"/>
    <w:rsid w:val="00AA3C1A"/>
    <w:rsid w:val="00AA40A6"/>
    <w:rsid w:val="00AA43F0"/>
    <w:rsid w:val="00AA5EF8"/>
    <w:rsid w:val="00AA6CDF"/>
    <w:rsid w:val="00AB5E3F"/>
    <w:rsid w:val="00AB69EF"/>
    <w:rsid w:val="00AB7C35"/>
    <w:rsid w:val="00AC09AD"/>
    <w:rsid w:val="00AC1B10"/>
    <w:rsid w:val="00AC2676"/>
    <w:rsid w:val="00AC3211"/>
    <w:rsid w:val="00AC40AB"/>
    <w:rsid w:val="00AC541A"/>
    <w:rsid w:val="00AC70E0"/>
    <w:rsid w:val="00AD0968"/>
    <w:rsid w:val="00AD09A3"/>
    <w:rsid w:val="00AD22A1"/>
    <w:rsid w:val="00AD5199"/>
    <w:rsid w:val="00AD53E7"/>
    <w:rsid w:val="00AD5909"/>
    <w:rsid w:val="00AD5E41"/>
    <w:rsid w:val="00AD5FC8"/>
    <w:rsid w:val="00AD6179"/>
    <w:rsid w:val="00AE0F41"/>
    <w:rsid w:val="00AE1088"/>
    <w:rsid w:val="00AE2CB5"/>
    <w:rsid w:val="00AE3164"/>
    <w:rsid w:val="00AE3277"/>
    <w:rsid w:val="00AE3304"/>
    <w:rsid w:val="00AE36C4"/>
    <w:rsid w:val="00AE4610"/>
    <w:rsid w:val="00AF1BB9"/>
    <w:rsid w:val="00AF1D37"/>
    <w:rsid w:val="00AF1E98"/>
    <w:rsid w:val="00AF209F"/>
    <w:rsid w:val="00AF2203"/>
    <w:rsid w:val="00AF402A"/>
    <w:rsid w:val="00AF4FC8"/>
    <w:rsid w:val="00AF5173"/>
    <w:rsid w:val="00AF570A"/>
    <w:rsid w:val="00AF58AE"/>
    <w:rsid w:val="00AF660C"/>
    <w:rsid w:val="00AF7362"/>
    <w:rsid w:val="00AF778B"/>
    <w:rsid w:val="00AF79FA"/>
    <w:rsid w:val="00AF7A9E"/>
    <w:rsid w:val="00B00351"/>
    <w:rsid w:val="00B00CE0"/>
    <w:rsid w:val="00B01605"/>
    <w:rsid w:val="00B0270A"/>
    <w:rsid w:val="00B0277B"/>
    <w:rsid w:val="00B027EA"/>
    <w:rsid w:val="00B02A3A"/>
    <w:rsid w:val="00B035CF"/>
    <w:rsid w:val="00B03BAA"/>
    <w:rsid w:val="00B03DED"/>
    <w:rsid w:val="00B050F5"/>
    <w:rsid w:val="00B05EB4"/>
    <w:rsid w:val="00B072E3"/>
    <w:rsid w:val="00B0770A"/>
    <w:rsid w:val="00B07D4D"/>
    <w:rsid w:val="00B13A3C"/>
    <w:rsid w:val="00B14C43"/>
    <w:rsid w:val="00B15DEA"/>
    <w:rsid w:val="00B16771"/>
    <w:rsid w:val="00B17797"/>
    <w:rsid w:val="00B209ED"/>
    <w:rsid w:val="00B222F3"/>
    <w:rsid w:val="00B224FA"/>
    <w:rsid w:val="00B22A9B"/>
    <w:rsid w:val="00B2511E"/>
    <w:rsid w:val="00B2621E"/>
    <w:rsid w:val="00B2751B"/>
    <w:rsid w:val="00B3096C"/>
    <w:rsid w:val="00B31584"/>
    <w:rsid w:val="00B32DD9"/>
    <w:rsid w:val="00B35C27"/>
    <w:rsid w:val="00B40761"/>
    <w:rsid w:val="00B4126F"/>
    <w:rsid w:val="00B42AD4"/>
    <w:rsid w:val="00B453F2"/>
    <w:rsid w:val="00B50493"/>
    <w:rsid w:val="00B50D23"/>
    <w:rsid w:val="00B55C88"/>
    <w:rsid w:val="00B55F06"/>
    <w:rsid w:val="00B564F3"/>
    <w:rsid w:val="00B56574"/>
    <w:rsid w:val="00B62BBF"/>
    <w:rsid w:val="00B6427E"/>
    <w:rsid w:val="00B64ECE"/>
    <w:rsid w:val="00B65A7F"/>
    <w:rsid w:val="00B6625D"/>
    <w:rsid w:val="00B662DE"/>
    <w:rsid w:val="00B66AC7"/>
    <w:rsid w:val="00B66D5B"/>
    <w:rsid w:val="00B66DE6"/>
    <w:rsid w:val="00B709C2"/>
    <w:rsid w:val="00B7169D"/>
    <w:rsid w:val="00B71D12"/>
    <w:rsid w:val="00B71DB2"/>
    <w:rsid w:val="00B72956"/>
    <w:rsid w:val="00B73F53"/>
    <w:rsid w:val="00B747F0"/>
    <w:rsid w:val="00B74D0C"/>
    <w:rsid w:val="00B753B1"/>
    <w:rsid w:val="00B76263"/>
    <w:rsid w:val="00B8000D"/>
    <w:rsid w:val="00B8037A"/>
    <w:rsid w:val="00B82889"/>
    <w:rsid w:val="00B82AC5"/>
    <w:rsid w:val="00B83845"/>
    <w:rsid w:val="00B839CE"/>
    <w:rsid w:val="00B83C50"/>
    <w:rsid w:val="00B86012"/>
    <w:rsid w:val="00B86127"/>
    <w:rsid w:val="00B87F68"/>
    <w:rsid w:val="00B90E72"/>
    <w:rsid w:val="00B91454"/>
    <w:rsid w:val="00B91524"/>
    <w:rsid w:val="00B92D08"/>
    <w:rsid w:val="00B96A70"/>
    <w:rsid w:val="00B972A7"/>
    <w:rsid w:val="00B97B0C"/>
    <w:rsid w:val="00BA0DF6"/>
    <w:rsid w:val="00BA3466"/>
    <w:rsid w:val="00BA42FC"/>
    <w:rsid w:val="00BA4807"/>
    <w:rsid w:val="00BA4D4B"/>
    <w:rsid w:val="00BA63A0"/>
    <w:rsid w:val="00BA643D"/>
    <w:rsid w:val="00BA71F5"/>
    <w:rsid w:val="00BB0176"/>
    <w:rsid w:val="00BB3AFA"/>
    <w:rsid w:val="00BB41A2"/>
    <w:rsid w:val="00BB52F9"/>
    <w:rsid w:val="00BB602F"/>
    <w:rsid w:val="00BB64DB"/>
    <w:rsid w:val="00BB7702"/>
    <w:rsid w:val="00BC20FE"/>
    <w:rsid w:val="00BC2794"/>
    <w:rsid w:val="00BC2B7B"/>
    <w:rsid w:val="00BC3D77"/>
    <w:rsid w:val="00BC5B9B"/>
    <w:rsid w:val="00BC678B"/>
    <w:rsid w:val="00BC764D"/>
    <w:rsid w:val="00BD0CEA"/>
    <w:rsid w:val="00BD0ED0"/>
    <w:rsid w:val="00BD1A77"/>
    <w:rsid w:val="00BD1AD7"/>
    <w:rsid w:val="00BD212F"/>
    <w:rsid w:val="00BD2518"/>
    <w:rsid w:val="00BD3C70"/>
    <w:rsid w:val="00BD3F39"/>
    <w:rsid w:val="00BD3FD3"/>
    <w:rsid w:val="00BD4AA3"/>
    <w:rsid w:val="00BD4B08"/>
    <w:rsid w:val="00BD5757"/>
    <w:rsid w:val="00BD77EC"/>
    <w:rsid w:val="00BD7837"/>
    <w:rsid w:val="00BE1662"/>
    <w:rsid w:val="00BE1B3D"/>
    <w:rsid w:val="00BE2354"/>
    <w:rsid w:val="00BE32FA"/>
    <w:rsid w:val="00BE3418"/>
    <w:rsid w:val="00BE52BE"/>
    <w:rsid w:val="00BE78CC"/>
    <w:rsid w:val="00BF09E7"/>
    <w:rsid w:val="00BF0ADE"/>
    <w:rsid w:val="00BF0EB0"/>
    <w:rsid w:val="00BF1BB2"/>
    <w:rsid w:val="00BF26D4"/>
    <w:rsid w:val="00BF32A9"/>
    <w:rsid w:val="00BF382F"/>
    <w:rsid w:val="00BF3AB6"/>
    <w:rsid w:val="00C0124A"/>
    <w:rsid w:val="00C03E5F"/>
    <w:rsid w:val="00C04974"/>
    <w:rsid w:val="00C04EF1"/>
    <w:rsid w:val="00C05884"/>
    <w:rsid w:val="00C069CB"/>
    <w:rsid w:val="00C116A0"/>
    <w:rsid w:val="00C1182D"/>
    <w:rsid w:val="00C11E0C"/>
    <w:rsid w:val="00C121C2"/>
    <w:rsid w:val="00C172B3"/>
    <w:rsid w:val="00C17F2F"/>
    <w:rsid w:val="00C201CE"/>
    <w:rsid w:val="00C2109E"/>
    <w:rsid w:val="00C21582"/>
    <w:rsid w:val="00C22372"/>
    <w:rsid w:val="00C236D3"/>
    <w:rsid w:val="00C25984"/>
    <w:rsid w:val="00C2789F"/>
    <w:rsid w:val="00C3008E"/>
    <w:rsid w:val="00C30AF6"/>
    <w:rsid w:val="00C3111A"/>
    <w:rsid w:val="00C31266"/>
    <w:rsid w:val="00C3301A"/>
    <w:rsid w:val="00C35425"/>
    <w:rsid w:val="00C355E1"/>
    <w:rsid w:val="00C35B35"/>
    <w:rsid w:val="00C360BC"/>
    <w:rsid w:val="00C36279"/>
    <w:rsid w:val="00C37A82"/>
    <w:rsid w:val="00C405A6"/>
    <w:rsid w:val="00C405E8"/>
    <w:rsid w:val="00C40FA5"/>
    <w:rsid w:val="00C42C5D"/>
    <w:rsid w:val="00C42F46"/>
    <w:rsid w:val="00C45C03"/>
    <w:rsid w:val="00C45D10"/>
    <w:rsid w:val="00C47825"/>
    <w:rsid w:val="00C47F64"/>
    <w:rsid w:val="00C51DBD"/>
    <w:rsid w:val="00C55618"/>
    <w:rsid w:val="00C5612C"/>
    <w:rsid w:val="00C56A55"/>
    <w:rsid w:val="00C573EB"/>
    <w:rsid w:val="00C57E2C"/>
    <w:rsid w:val="00C57E95"/>
    <w:rsid w:val="00C61A0D"/>
    <w:rsid w:val="00C61E10"/>
    <w:rsid w:val="00C6383A"/>
    <w:rsid w:val="00C64158"/>
    <w:rsid w:val="00C64C2C"/>
    <w:rsid w:val="00C65345"/>
    <w:rsid w:val="00C65A35"/>
    <w:rsid w:val="00C65A67"/>
    <w:rsid w:val="00C66021"/>
    <w:rsid w:val="00C676BF"/>
    <w:rsid w:val="00C71C2B"/>
    <w:rsid w:val="00C74626"/>
    <w:rsid w:val="00C74E2F"/>
    <w:rsid w:val="00C752F2"/>
    <w:rsid w:val="00C761B2"/>
    <w:rsid w:val="00C76757"/>
    <w:rsid w:val="00C76797"/>
    <w:rsid w:val="00C770A0"/>
    <w:rsid w:val="00C77585"/>
    <w:rsid w:val="00C811EA"/>
    <w:rsid w:val="00C81C90"/>
    <w:rsid w:val="00C82285"/>
    <w:rsid w:val="00C8242A"/>
    <w:rsid w:val="00C82C9D"/>
    <w:rsid w:val="00C83852"/>
    <w:rsid w:val="00C83C40"/>
    <w:rsid w:val="00C83FEB"/>
    <w:rsid w:val="00C85087"/>
    <w:rsid w:val="00C85CF3"/>
    <w:rsid w:val="00C86B5A"/>
    <w:rsid w:val="00C86DE5"/>
    <w:rsid w:val="00C870EB"/>
    <w:rsid w:val="00C900FB"/>
    <w:rsid w:val="00C90144"/>
    <w:rsid w:val="00C90891"/>
    <w:rsid w:val="00C91161"/>
    <w:rsid w:val="00C916A1"/>
    <w:rsid w:val="00C91BEA"/>
    <w:rsid w:val="00C91E99"/>
    <w:rsid w:val="00C92565"/>
    <w:rsid w:val="00C93649"/>
    <w:rsid w:val="00C940A7"/>
    <w:rsid w:val="00C965A2"/>
    <w:rsid w:val="00C971EF"/>
    <w:rsid w:val="00CA00E0"/>
    <w:rsid w:val="00CA1386"/>
    <w:rsid w:val="00CA16C2"/>
    <w:rsid w:val="00CA170C"/>
    <w:rsid w:val="00CA17A2"/>
    <w:rsid w:val="00CA2E19"/>
    <w:rsid w:val="00CA405E"/>
    <w:rsid w:val="00CA4D76"/>
    <w:rsid w:val="00CA6038"/>
    <w:rsid w:val="00CA6723"/>
    <w:rsid w:val="00CB0A0F"/>
    <w:rsid w:val="00CB2201"/>
    <w:rsid w:val="00CB2520"/>
    <w:rsid w:val="00CB2788"/>
    <w:rsid w:val="00CB2D98"/>
    <w:rsid w:val="00CB34C1"/>
    <w:rsid w:val="00CB3B0C"/>
    <w:rsid w:val="00CB3D24"/>
    <w:rsid w:val="00CB585C"/>
    <w:rsid w:val="00CB5DF7"/>
    <w:rsid w:val="00CB7976"/>
    <w:rsid w:val="00CC060E"/>
    <w:rsid w:val="00CC1243"/>
    <w:rsid w:val="00CC1E22"/>
    <w:rsid w:val="00CC226A"/>
    <w:rsid w:val="00CC2967"/>
    <w:rsid w:val="00CC3C8B"/>
    <w:rsid w:val="00CC43A3"/>
    <w:rsid w:val="00CC48BE"/>
    <w:rsid w:val="00CC49AB"/>
    <w:rsid w:val="00CC4CE8"/>
    <w:rsid w:val="00CC5783"/>
    <w:rsid w:val="00CC6033"/>
    <w:rsid w:val="00CC6E5D"/>
    <w:rsid w:val="00CD0264"/>
    <w:rsid w:val="00CD1364"/>
    <w:rsid w:val="00CD14A1"/>
    <w:rsid w:val="00CD1B52"/>
    <w:rsid w:val="00CD2033"/>
    <w:rsid w:val="00CD42E5"/>
    <w:rsid w:val="00CD511A"/>
    <w:rsid w:val="00CD68B7"/>
    <w:rsid w:val="00CD6C14"/>
    <w:rsid w:val="00CD7122"/>
    <w:rsid w:val="00CE0B0D"/>
    <w:rsid w:val="00CE0B4F"/>
    <w:rsid w:val="00CE0DDA"/>
    <w:rsid w:val="00CE1757"/>
    <w:rsid w:val="00CE425A"/>
    <w:rsid w:val="00CE45A0"/>
    <w:rsid w:val="00CE49AC"/>
    <w:rsid w:val="00CE4D09"/>
    <w:rsid w:val="00CE5CFD"/>
    <w:rsid w:val="00CE7D55"/>
    <w:rsid w:val="00CF032F"/>
    <w:rsid w:val="00CF0CC7"/>
    <w:rsid w:val="00CF293A"/>
    <w:rsid w:val="00CF400C"/>
    <w:rsid w:val="00CF42C5"/>
    <w:rsid w:val="00CF5C63"/>
    <w:rsid w:val="00CF6F9E"/>
    <w:rsid w:val="00CF7CCA"/>
    <w:rsid w:val="00D011AD"/>
    <w:rsid w:val="00D03327"/>
    <w:rsid w:val="00D0517B"/>
    <w:rsid w:val="00D053BF"/>
    <w:rsid w:val="00D058D6"/>
    <w:rsid w:val="00D07DA7"/>
    <w:rsid w:val="00D07DAD"/>
    <w:rsid w:val="00D1017E"/>
    <w:rsid w:val="00D10D68"/>
    <w:rsid w:val="00D10EF3"/>
    <w:rsid w:val="00D11DCF"/>
    <w:rsid w:val="00D1227E"/>
    <w:rsid w:val="00D12E0A"/>
    <w:rsid w:val="00D1356D"/>
    <w:rsid w:val="00D16F57"/>
    <w:rsid w:val="00D2085A"/>
    <w:rsid w:val="00D22891"/>
    <w:rsid w:val="00D2462B"/>
    <w:rsid w:val="00D300AA"/>
    <w:rsid w:val="00D315E1"/>
    <w:rsid w:val="00D31AA3"/>
    <w:rsid w:val="00D32497"/>
    <w:rsid w:val="00D32659"/>
    <w:rsid w:val="00D344A7"/>
    <w:rsid w:val="00D358CF"/>
    <w:rsid w:val="00D35E09"/>
    <w:rsid w:val="00D37247"/>
    <w:rsid w:val="00D3776C"/>
    <w:rsid w:val="00D404DF"/>
    <w:rsid w:val="00D40512"/>
    <w:rsid w:val="00D40A2F"/>
    <w:rsid w:val="00D40D22"/>
    <w:rsid w:val="00D40ECE"/>
    <w:rsid w:val="00D41E8F"/>
    <w:rsid w:val="00D425D1"/>
    <w:rsid w:val="00D43423"/>
    <w:rsid w:val="00D435EC"/>
    <w:rsid w:val="00D439EF"/>
    <w:rsid w:val="00D43BA3"/>
    <w:rsid w:val="00D440B6"/>
    <w:rsid w:val="00D4518D"/>
    <w:rsid w:val="00D46238"/>
    <w:rsid w:val="00D50E0A"/>
    <w:rsid w:val="00D51563"/>
    <w:rsid w:val="00D52449"/>
    <w:rsid w:val="00D528F3"/>
    <w:rsid w:val="00D52A70"/>
    <w:rsid w:val="00D55496"/>
    <w:rsid w:val="00D55643"/>
    <w:rsid w:val="00D55A73"/>
    <w:rsid w:val="00D56E38"/>
    <w:rsid w:val="00D57A0F"/>
    <w:rsid w:val="00D57DB2"/>
    <w:rsid w:val="00D6155C"/>
    <w:rsid w:val="00D61AD1"/>
    <w:rsid w:val="00D63119"/>
    <w:rsid w:val="00D63D9D"/>
    <w:rsid w:val="00D64A53"/>
    <w:rsid w:val="00D6663A"/>
    <w:rsid w:val="00D66ACD"/>
    <w:rsid w:val="00D67A8D"/>
    <w:rsid w:val="00D71B4A"/>
    <w:rsid w:val="00D7203B"/>
    <w:rsid w:val="00D7439A"/>
    <w:rsid w:val="00D74DE9"/>
    <w:rsid w:val="00D758CE"/>
    <w:rsid w:val="00D770FB"/>
    <w:rsid w:val="00D77A36"/>
    <w:rsid w:val="00D807CD"/>
    <w:rsid w:val="00D80AF3"/>
    <w:rsid w:val="00D80B79"/>
    <w:rsid w:val="00D80D10"/>
    <w:rsid w:val="00D82B92"/>
    <w:rsid w:val="00D83157"/>
    <w:rsid w:val="00D83F08"/>
    <w:rsid w:val="00D84F2C"/>
    <w:rsid w:val="00D8602F"/>
    <w:rsid w:val="00D86B13"/>
    <w:rsid w:val="00D902DE"/>
    <w:rsid w:val="00D90D89"/>
    <w:rsid w:val="00D915EF"/>
    <w:rsid w:val="00D91A52"/>
    <w:rsid w:val="00D92F05"/>
    <w:rsid w:val="00D9369D"/>
    <w:rsid w:val="00D94264"/>
    <w:rsid w:val="00D945D0"/>
    <w:rsid w:val="00D948DB"/>
    <w:rsid w:val="00D95420"/>
    <w:rsid w:val="00D95BFD"/>
    <w:rsid w:val="00D96053"/>
    <w:rsid w:val="00D96413"/>
    <w:rsid w:val="00D97568"/>
    <w:rsid w:val="00D97B54"/>
    <w:rsid w:val="00D97FDC"/>
    <w:rsid w:val="00DA0CA7"/>
    <w:rsid w:val="00DA0E23"/>
    <w:rsid w:val="00DA2072"/>
    <w:rsid w:val="00DA2B76"/>
    <w:rsid w:val="00DA42EA"/>
    <w:rsid w:val="00DA6480"/>
    <w:rsid w:val="00DB08DE"/>
    <w:rsid w:val="00DB25E2"/>
    <w:rsid w:val="00DB2F46"/>
    <w:rsid w:val="00DB3203"/>
    <w:rsid w:val="00DB360E"/>
    <w:rsid w:val="00DB4292"/>
    <w:rsid w:val="00DB7B62"/>
    <w:rsid w:val="00DB7DF2"/>
    <w:rsid w:val="00DC1367"/>
    <w:rsid w:val="00DC4CCB"/>
    <w:rsid w:val="00DC6984"/>
    <w:rsid w:val="00DC757C"/>
    <w:rsid w:val="00DD09C7"/>
    <w:rsid w:val="00DD1664"/>
    <w:rsid w:val="00DD203F"/>
    <w:rsid w:val="00DD2E5B"/>
    <w:rsid w:val="00DD38EC"/>
    <w:rsid w:val="00DD3D84"/>
    <w:rsid w:val="00DD4B18"/>
    <w:rsid w:val="00DD6FEA"/>
    <w:rsid w:val="00DE0148"/>
    <w:rsid w:val="00DE0F1D"/>
    <w:rsid w:val="00DE19F6"/>
    <w:rsid w:val="00DE1A4F"/>
    <w:rsid w:val="00DE21B4"/>
    <w:rsid w:val="00DE2870"/>
    <w:rsid w:val="00DE7098"/>
    <w:rsid w:val="00DE7238"/>
    <w:rsid w:val="00DE77E5"/>
    <w:rsid w:val="00DF0701"/>
    <w:rsid w:val="00DF1098"/>
    <w:rsid w:val="00DF1959"/>
    <w:rsid w:val="00DF19A7"/>
    <w:rsid w:val="00DF1EED"/>
    <w:rsid w:val="00DF1FFB"/>
    <w:rsid w:val="00DF2947"/>
    <w:rsid w:val="00DF2C1C"/>
    <w:rsid w:val="00DF332D"/>
    <w:rsid w:val="00E00D33"/>
    <w:rsid w:val="00E0140D"/>
    <w:rsid w:val="00E01828"/>
    <w:rsid w:val="00E01F8C"/>
    <w:rsid w:val="00E01FAC"/>
    <w:rsid w:val="00E021A6"/>
    <w:rsid w:val="00E04AC3"/>
    <w:rsid w:val="00E05040"/>
    <w:rsid w:val="00E0691D"/>
    <w:rsid w:val="00E12026"/>
    <w:rsid w:val="00E12FE6"/>
    <w:rsid w:val="00E13ED4"/>
    <w:rsid w:val="00E14BD6"/>
    <w:rsid w:val="00E14F57"/>
    <w:rsid w:val="00E15754"/>
    <w:rsid w:val="00E16A57"/>
    <w:rsid w:val="00E17463"/>
    <w:rsid w:val="00E2068E"/>
    <w:rsid w:val="00E21903"/>
    <w:rsid w:val="00E23EF4"/>
    <w:rsid w:val="00E24042"/>
    <w:rsid w:val="00E246A8"/>
    <w:rsid w:val="00E24FEB"/>
    <w:rsid w:val="00E25816"/>
    <w:rsid w:val="00E25B18"/>
    <w:rsid w:val="00E25BAE"/>
    <w:rsid w:val="00E25E12"/>
    <w:rsid w:val="00E26B25"/>
    <w:rsid w:val="00E30313"/>
    <w:rsid w:val="00E308AE"/>
    <w:rsid w:val="00E30BAF"/>
    <w:rsid w:val="00E316CF"/>
    <w:rsid w:val="00E318A9"/>
    <w:rsid w:val="00E31C5D"/>
    <w:rsid w:val="00E32B62"/>
    <w:rsid w:val="00E3485E"/>
    <w:rsid w:val="00E3511F"/>
    <w:rsid w:val="00E36E7C"/>
    <w:rsid w:val="00E37D33"/>
    <w:rsid w:val="00E40F4D"/>
    <w:rsid w:val="00E412F7"/>
    <w:rsid w:val="00E42790"/>
    <w:rsid w:val="00E43405"/>
    <w:rsid w:val="00E43958"/>
    <w:rsid w:val="00E43DB2"/>
    <w:rsid w:val="00E43E4F"/>
    <w:rsid w:val="00E45085"/>
    <w:rsid w:val="00E45CA2"/>
    <w:rsid w:val="00E4680B"/>
    <w:rsid w:val="00E46C8A"/>
    <w:rsid w:val="00E47040"/>
    <w:rsid w:val="00E5041E"/>
    <w:rsid w:val="00E51390"/>
    <w:rsid w:val="00E5215C"/>
    <w:rsid w:val="00E53843"/>
    <w:rsid w:val="00E53F43"/>
    <w:rsid w:val="00E549CF"/>
    <w:rsid w:val="00E5517F"/>
    <w:rsid w:val="00E5554C"/>
    <w:rsid w:val="00E6509D"/>
    <w:rsid w:val="00E659A3"/>
    <w:rsid w:val="00E66729"/>
    <w:rsid w:val="00E66EDE"/>
    <w:rsid w:val="00E708BD"/>
    <w:rsid w:val="00E70CE4"/>
    <w:rsid w:val="00E72818"/>
    <w:rsid w:val="00E72F84"/>
    <w:rsid w:val="00E74174"/>
    <w:rsid w:val="00E74F05"/>
    <w:rsid w:val="00E75ED7"/>
    <w:rsid w:val="00E7711F"/>
    <w:rsid w:val="00E77C6C"/>
    <w:rsid w:val="00E8168B"/>
    <w:rsid w:val="00E82119"/>
    <w:rsid w:val="00E8288C"/>
    <w:rsid w:val="00E83BAF"/>
    <w:rsid w:val="00E845B9"/>
    <w:rsid w:val="00E84B05"/>
    <w:rsid w:val="00E84E04"/>
    <w:rsid w:val="00E85843"/>
    <w:rsid w:val="00E85C60"/>
    <w:rsid w:val="00E85D64"/>
    <w:rsid w:val="00E865EA"/>
    <w:rsid w:val="00E86774"/>
    <w:rsid w:val="00E86EBD"/>
    <w:rsid w:val="00E87A79"/>
    <w:rsid w:val="00E87DB9"/>
    <w:rsid w:val="00E92D63"/>
    <w:rsid w:val="00E93904"/>
    <w:rsid w:val="00E942FC"/>
    <w:rsid w:val="00E95016"/>
    <w:rsid w:val="00E96BDD"/>
    <w:rsid w:val="00E976BC"/>
    <w:rsid w:val="00E97A8B"/>
    <w:rsid w:val="00EA2108"/>
    <w:rsid w:val="00EA270F"/>
    <w:rsid w:val="00EA343B"/>
    <w:rsid w:val="00EA4DD8"/>
    <w:rsid w:val="00EA62BA"/>
    <w:rsid w:val="00EA79EF"/>
    <w:rsid w:val="00EA7A7F"/>
    <w:rsid w:val="00EA7D49"/>
    <w:rsid w:val="00EB057A"/>
    <w:rsid w:val="00EB08F2"/>
    <w:rsid w:val="00EB32E7"/>
    <w:rsid w:val="00EB36CF"/>
    <w:rsid w:val="00EB4B57"/>
    <w:rsid w:val="00EB4E3F"/>
    <w:rsid w:val="00EB65EB"/>
    <w:rsid w:val="00EB666B"/>
    <w:rsid w:val="00EC00BA"/>
    <w:rsid w:val="00EC1F63"/>
    <w:rsid w:val="00EC2978"/>
    <w:rsid w:val="00EC2AEF"/>
    <w:rsid w:val="00EC2BAE"/>
    <w:rsid w:val="00EC2EDC"/>
    <w:rsid w:val="00EC38B0"/>
    <w:rsid w:val="00EC4538"/>
    <w:rsid w:val="00EC4711"/>
    <w:rsid w:val="00EC51C7"/>
    <w:rsid w:val="00EC521B"/>
    <w:rsid w:val="00EC6337"/>
    <w:rsid w:val="00EC76D0"/>
    <w:rsid w:val="00ED0C8E"/>
    <w:rsid w:val="00ED11C5"/>
    <w:rsid w:val="00ED1235"/>
    <w:rsid w:val="00ED3C46"/>
    <w:rsid w:val="00ED5345"/>
    <w:rsid w:val="00ED6856"/>
    <w:rsid w:val="00ED6A52"/>
    <w:rsid w:val="00ED6BF2"/>
    <w:rsid w:val="00EE00B8"/>
    <w:rsid w:val="00EE2B01"/>
    <w:rsid w:val="00EE48C1"/>
    <w:rsid w:val="00EE4ADB"/>
    <w:rsid w:val="00EE5381"/>
    <w:rsid w:val="00EE5D9E"/>
    <w:rsid w:val="00EE691B"/>
    <w:rsid w:val="00EF0204"/>
    <w:rsid w:val="00EF027B"/>
    <w:rsid w:val="00EF2175"/>
    <w:rsid w:val="00EF25E7"/>
    <w:rsid w:val="00EF2B12"/>
    <w:rsid w:val="00EF2EA2"/>
    <w:rsid w:val="00EF3EDC"/>
    <w:rsid w:val="00EF4119"/>
    <w:rsid w:val="00EF4464"/>
    <w:rsid w:val="00EF47E4"/>
    <w:rsid w:val="00F00AA5"/>
    <w:rsid w:val="00F01C05"/>
    <w:rsid w:val="00F025EA"/>
    <w:rsid w:val="00F02FAC"/>
    <w:rsid w:val="00F0358E"/>
    <w:rsid w:val="00F043E7"/>
    <w:rsid w:val="00F0493D"/>
    <w:rsid w:val="00F049AE"/>
    <w:rsid w:val="00F05021"/>
    <w:rsid w:val="00F102EF"/>
    <w:rsid w:val="00F1081C"/>
    <w:rsid w:val="00F10F5C"/>
    <w:rsid w:val="00F1205C"/>
    <w:rsid w:val="00F1236D"/>
    <w:rsid w:val="00F124F6"/>
    <w:rsid w:val="00F13A58"/>
    <w:rsid w:val="00F15431"/>
    <w:rsid w:val="00F15F27"/>
    <w:rsid w:val="00F168F8"/>
    <w:rsid w:val="00F16EBA"/>
    <w:rsid w:val="00F204FA"/>
    <w:rsid w:val="00F2118E"/>
    <w:rsid w:val="00F2339C"/>
    <w:rsid w:val="00F25600"/>
    <w:rsid w:val="00F26357"/>
    <w:rsid w:val="00F27CAC"/>
    <w:rsid w:val="00F30091"/>
    <w:rsid w:val="00F32EF1"/>
    <w:rsid w:val="00F34CCE"/>
    <w:rsid w:val="00F4353F"/>
    <w:rsid w:val="00F4371C"/>
    <w:rsid w:val="00F44ACA"/>
    <w:rsid w:val="00F460A0"/>
    <w:rsid w:val="00F462F4"/>
    <w:rsid w:val="00F466B9"/>
    <w:rsid w:val="00F474FD"/>
    <w:rsid w:val="00F47930"/>
    <w:rsid w:val="00F51211"/>
    <w:rsid w:val="00F53CC8"/>
    <w:rsid w:val="00F53CF4"/>
    <w:rsid w:val="00F552F9"/>
    <w:rsid w:val="00F5561C"/>
    <w:rsid w:val="00F570A9"/>
    <w:rsid w:val="00F57BB9"/>
    <w:rsid w:val="00F57F68"/>
    <w:rsid w:val="00F60494"/>
    <w:rsid w:val="00F6174E"/>
    <w:rsid w:val="00F626F8"/>
    <w:rsid w:val="00F6380E"/>
    <w:rsid w:val="00F63B2D"/>
    <w:rsid w:val="00F63D35"/>
    <w:rsid w:val="00F652C9"/>
    <w:rsid w:val="00F65A2A"/>
    <w:rsid w:val="00F66313"/>
    <w:rsid w:val="00F66AA8"/>
    <w:rsid w:val="00F67424"/>
    <w:rsid w:val="00F67C89"/>
    <w:rsid w:val="00F70726"/>
    <w:rsid w:val="00F715D0"/>
    <w:rsid w:val="00F7190E"/>
    <w:rsid w:val="00F72408"/>
    <w:rsid w:val="00F72D7F"/>
    <w:rsid w:val="00F73056"/>
    <w:rsid w:val="00F7309E"/>
    <w:rsid w:val="00F735F8"/>
    <w:rsid w:val="00F73707"/>
    <w:rsid w:val="00F73DA8"/>
    <w:rsid w:val="00F7401C"/>
    <w:rsid w:val="00F74928"/>
    <w:rsid w:val="00F764D2"/>
    <w:rsid w:val="00F77037"/>
    <w:rsid w:val="00F808B6"/>
    <w:rsid w:val="00F80EF0"/>
    <w:rsid w:val="00F812A5"/>
    <w:rsid w:val="00F824FE"/>
    <w:rsid w:val="00F8274D"/>
    <w:rsid w:val="00F833C9"/>
    <w:rsid w:val="00F83D2D"/>
    <w:rsid w:val="00F84797"/>
    <w:rsid w:val="00F8491A"/>
    <w:rsid w:val="00F84F2C"/>
    <w:rsid w:val="00F856F8"/>
    <w:rsid w:val="00F85C60"/>
    <w:rsid w:val="00F8654C"/>
    <w:rsid w:val="00F866DF"/>
    <w:rsid w:val="00F86844"/>
    <w:rsid w:val="00F877AD"/>
    <w:rsid w:val="00F90A4E"/>
    <w:rsid w:val="00F91B22"/>
    <w:rsid w:val="00F92C8B"/>
    <w:rsid w:val="00F9308B"/>
    <w:rsid w:val="00F932B2"/>
    <w:rsid w:val="00F93866"/>
    <w:rsid w:val="00F9440E"/>
    <w:rsid w:val="00FA216F"/>
    <w:rsid w:val="00FA3978"/>
    <w:rsid w:val="00FA3D75"/>
    <w:rsid w:val="00FA595F"/>
    <w:rsid w:val="00FB13F5"/>
    <w:rsid w:val="00FB1529"/>
    <w:rsid w:val="00FB1E1A"/>
    <w:rsid w:val="00FB2E80"/>
    <w:rsid w:val="00FB332C"/>
    <w:rsid w:val="00FB5497"/>
    <w:rsid w:val="00FB6393"/>
    <w:rsid w:val="00FB6DC1"/>
    <w:rsid w:val="00FC05D5"/>
    <w:rsid w:val="00FC09FC"/>
    <w:rsid w:val="00FC1861"/>
    <w:rsid w:val="00FC3081"/>
    <w:rsid w:val="00FC3085"/>
    <w:rsid w:val="00FC3787"/>
    <w:rsid w:val="00FC39EC"/>
    <w:rsid w:val="00FC4583"/>
    <w:rsid w:val="00FC6D2F"/>
    <w:rsid w:val="00FD0C9A"/>
    <w:rsid w:val="00FD275C"/>
    <w:rsid w:val="00FD2C56"/>
    <w:rsid w:val="00FD3008"/>
    <w:rsid w:val="00FD3114"/>
    <w:rsid w:val="00FD4498"/>
    <w:rsid w:val="00FD6202"/>
    <w:rsid w:val="00FD6F6B"/>
    <w:rsid w:val="00FD7A36"/>
    <w:rsid w:val="00FE1384"/>
    <w:rsid w:val="00FE1B3B"/>
    <w:rsid w:val="00FE1CE4"/>
    <w:rsid w:val="00FE20C2"/>
    <w:rsid w:val="00FE21F6"/>
    <w:rsid w:val="00FE2575"/>
    <w:rsid w:val="00FE30BE"/>
    <w:rsid w:val="00FE3572"/>
    <w:rsid w:val="00FE3DD0"/>
    <w:rsid w:val="00FE4631"/>
    <w:rsid w:val="00FE551A"/>
    <w:rsid w:val="00FF0FAE"/>
    <w:rsid w:val="00FF177D"/>
    <w:rsid w:val="00FF1D0F"/>
    <w:rsid w:val="00FF2DB1"/>
    <w:rsid w:val="00FF4047"/>
    <w:rsid w:val="00FF5B83"/>
    <w:rsid w:val="00FF6159"/>
    <w:rsid w:val="00FF7019"/>
    <w:rsid w:val="00FF73EB"/>
    <w:rsid w:val="00FF7621"/>
    <w:rsid w:val="00FF7AB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407B434"/>
  <w15:docId w15:val="{C47BAB14-A63B-4310-B4FA-18BD7AEF00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qFormat="1"/>
    <w:lsdException w:name="heading 2" w:semiHidden="1" w:unhideWhenUsed="1" w:qFormat="1"/>
    <w:lsdException w:name="heading 3" w:semiHidden="1" w:uiPriority="9" w:unhideWhenUsed="1" w:qFormat="1"/>
    <w:lsdException w:name="heading 4" w:semiHidden="1" w:unhideWhenUsed="1"/>
    <w:lsdException w:name="heading 5" w:semiHidden="1" w:unhideWhenUsed="1" w:qFormat="1"/>
    <w:lsdException w:name="heading 6" w:semiHidden="1" w:unhideWhenUsed="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aliases w:val="Appendix body text (no numbering)"/>
    <w:qFormat/>
    <w:rsid w:val="002722E9"/>
    <w:pPr>
      <w:spacing w:after="120" w:line="240" w:lineRule="auto"/>
    </w:pPr>
    <w:rPr>
      <w:rFonts w:ascii="Arial" w:eastAsia="Times New Roman" w:hAnsi="Arial" w:cs="Times New Roman"/>
      <w:szCs w:val="20"/>
    </w:rPr>
  </w:style>
  <w:style w:type="paragraph" w:styleId="Heading1">
    <w:name w:val="heading 1"/>
    <w:aliases w:val="Heading 1 Galloper,MainHeading,GyM FDS Heading 1,Überschrift Wiss Zchn Zchn,Char,Overskrift 1 Tegn1,Overskrift 1 Tegn Tegn,level 1,level1,LAF1,Triton Knoll,ADVICE 1,h1,Headline 1,Oscar Faber 1,Numbered 1,PA Chapter,heading a,SOWFL HEADING 1,L1"/>
    <w:basedOn w:val="Normal"/>
    <w:next w:val="Heading2"/>
    <w:link w:val="Heading1Char"/>
    <w:uiPriority w:val="99"/>
    <w:qFormat/>
    <w:rsid w:val="00F570A9"/>
    <w:pPr>
      <w:numPr>
        <w:numId w:val="3"/>
      </w:numPr>
      <w:spacing w:before="480" w:after="480"/>
      <w:contextualSpacing/>
      <w:outlineLvl w:val="0"/>
    </w:pPr>
    <w:rPr>
      <w:rFonts w:eastAsia="Calibri"/>
      <w:b/>
      <w:caps/>
      <w:color w:val="1D4477" w:themeColor="accent1"/>
      <w:sz w:val="36"/>
      <w:szCs w:val="22"/>
      <w:u w:color="3ED8BD" w:themeColor="accent2"/>
    </w:rPr>
  </w:style>
  <w:style w:type="paragraph" w:styleId="Heading2">
    <w:name w:val="heading 2"/>
    <w:aliases w:val="Heading 2 Galloper,GyM FDS Heading 2,Address Footer,Char1,Afsnit primæroverskrift,level 2,level2,OG Heading 2,Chapter Title,LAF2,2,Section head,L2,SH,. (1.1),Section,Heading 2 - section,Letter Level 1,Paragraph,Para Nos,Sub Heading"/>
    <w:basedOn w:val="Normal"/>
    <w:next w:val="Reportbodytextnumbering"/>
    <w:link w:val="Heading2Char"/>
    <w:uiPriority w:val="99"/>
    <w:unhideWhenUsed/>
    <w:qFormat/>
    <w:rsid w:val="006A7072"/>
    <w:pPr>
      <w:keepNext/>
      <w:keepLines/>
      <w:numPr>
        <w:ilvl w:val="1"/>
        <w:numId w:val="3"/>
      </w:numPr>
      <w:spacing w:before="360" w:after="360"/>
      <w:outlineLvl w:val="1"/>
    </w:pPr>
    <w:rPr>
      <w:rFonts w:eastAsiaTheme="majorEastAsia" w:cstheme="majorBidi"/>
      <w:b/>
      <w:bCs/>
      <w:caps/>
      <w:color w:val="3ED8BD" w:themeColor="accent2"/>
      <w:sz w:val="28"/>
      <w:szCs w:val="26"/>
      <w:lang w:val="en-US"/>
    </w:rPr>
  </w:style>
  <w:style w:type="paragraph" w:styleId="Heading3">
    <w:name w:val="heading 3"/>
    <w:aliases w:val="Heading 3 Galloper,Brødtekst med nummer,level 3,level3,Tegn,Overskr 3,Section SubHeading,L3,Report sub head,SBH,rb,. (1.1.1),Letter Level 2,(Normal),Heading 3 - section subheading,Heading 3 Char2 Char1,Heading 3 Char Char1 Char,r"/>
    <w:basedOn w:val="Normal"/>
    <w:next w:val="Reportbodytextnumbering"/>
    <w:link w:val="Heading3Char"/>
    <w:uiPriority w:val="9"/>
    <w:unhideWhenUsed/>
    <w:qFormat/>
    <w:rsid w:val="00DE0F1D"/>
    <w:pPr>
      <w:tabs>
        <w:tab w:val="left" w:pos="142"/>
        <w:tab w:val="left" w:pos="851"/>
      </w:tabs>
      <w:spacing w:before="360" w:after="360"/>
      <w:ind w:firstLine="851"/>
      <w:outlineLvl w:val="2"/>
    </w:pPr>
    <w:rPr>
      <w:b/>
      <w:caps/>
      <w:color w:val="3ED8BD" w:themeColor="accent2"/>
      <w:szCs w:val="22"/>
    </w:rPr>
  </w:style>
  <w:style w:type="paragraph" w:styleId="Heading4">
    <w:name w:val="heading 4"/>
    <w:aliases w:val="Heading 4 Galloper"/>
    <w:basedOn w:val="Heading3"/>
    <w:next w:val="Normal"/>
    <w:link w:val="Heading4Char"/>
    <w:uiPriority w:val="99"/>
    <w:unhideWhenUsed/>
    <w:rsid w:val="00765A9F"/>
    <w:pPr>
      <w:numPr>
        <w:ilvl w:val="3"/>
      </w:numPr>
      <w:ind w:left="709" w:hanging="709"/>
      <w:outlineLvl w:val="3"/>
    </w:pPr>
    <w:rPr>
      <w:bCs/>
      <w:iCs/>
    </w:rPr>
  </w:style>
  <w:style w:type="paragraph" w:styleId="Heading5">
    <w:name w:val="heading 5"/>
    <w:aliases w:val="Appendix Galloper"/>
    <w:basedOn w:val="Heading4"/>
    <w:next w:val="Normal"/>
    <w:link w:val="Heading5Char"/>
    <w:uiPriority w:val="99"/>
    <w:unhideWhenUsed/>
    <w:qFormat/>
    <w:rsid w:val="0050141C"/>
    <w:pPr>
      <w:numPr>
        <w:ilvl w:val="4"/>
      </w:numPr>
      <w:ind w:left="851" w:hanging="851"/>
      <w:outlineLvl w:val="4"/>
    </w:pPr>
  </w:style>
  <w:style w:type="paragraph" w:styleId="Heading6">
    <w:name w:val="heading 6"/>
    <w:basedOn w:val="Normal"/>
    <w:next w:val="Normal"/>
    <w:link w:val="Heading6Char"/>
    <w:uiPriority w:val="99"/>
    <w:rsid w:val="0050141C"/>
    <w:pPr>
      <w:keepNext/>
      <w:numPr>
        <w:ilvl w:val="5"/>
        <w:numId w:val="2"/>
      </w:numPr>
      <w:tabs>
        <w:tab w:val="left" w:pos="1530"/>
        <w:tab w:val="left" w:pos="2160"/>
        <w:tab w:val="left" w:pos="2520"/>
      </w:tabs>
      <w:outlineLvl w:val="5"/>
    </w:pPr>
    <w:rPr>
      <w:bCs/>
      <w:color w:val="009AA3"/>
      <w:lang w:val="en-US"/>
    </w:rPr>
  </w:style>
  <w:style w:type="paragraph" w:styleId="Heading7">
    <w:name w:val="heading 7"/>
    <w:basedOn w:val="Normal"/>
    <w:next w:val="Normal"/>
    <w:link w:val="Heading7Char"/>
    <w:uiPriority w:val="99"/>
    <w:semiHidden/>
    <w:unhideWhenUsed/>
    <w:rsid w:val="00F1205C"/>
    <w:pPr>
      <w:keepNext/>
      <w:keepLines/>
      <w:numPr>
        <w:ilvl w:val="6"/>
        <w:numId w:val="2"/>
      </w:numPr>
      <w:spacing w:before="200"/>
      <w:outlineLvl w:val="6"/>
    </w:pPr>
    <w:rPr>
      <w:rFonts w:eastAsiaTheme="majorEastAsia" w:cstheme="majorBidi"/>
      <w:i/>
      <w:iCs/>
      <w:color w:val="404040" w:themeColor="text1" w:themeTint="BF"/>
    </w:rPr>
  </w:style>
  <w:style w:type="paragraph" w:styleId="Heading8">
    <w:name w:val="heading 8"/>
    <w:basedOn w:val="Normal"/>
    <w:next w:val="Normal"/>
    <w:link w:val="Heading8Char"/>
    <w:uiPriority w:val="99"/>
    <w:semiHidden/>
    <w:unhideWhenUsed/>
    <w:qFormat/>
    <w:rsid w:val="006A5955"/>
    <w:pPr>
      <w:keepNext/>
      <w:keepLines/>
      <w:numPr>
        <w:ilvl w:val="7"/>
        <w:numId w:val="2"/>
      </w:numPr>
      <w:spacing w:before="200"/>
      <w:outlineLvl w:val="7"/>
    </w:pPr>
    <w:rPr>
      <w:rFonts w:asciiTheme="majorHAnsi" w:eastAsiaTheme="majorEastAsia" w:hAnsiTheme="majorHAnsi" w:cstheme="majorBidi"/>
      <w:color w:val="404040" w:themeColor="text1" w:themeTint="BF"/>
      <w:sz w:val="20"/>
    </w:rPr>
  </w:style>
  <w:style w:type="paragraph" w:styleId="Heading9">
    <w:name w:val="heading 9"/>
    <w:basedOn w:val="Normal"/>
    <w:next w:val="Normal"/>
    <w:link w:val="Heading9Char"/>
    <w:uiPriority w:val="99"/>
    <w:semiHidden/>
    <w:unhideWhenUsed/>
    <w:qFormat/>
    <w:rsid w:val="006A5955"/>
    <w:pPr>
      <w:keepNext/>
      <w:keepLines/>
      <w:numPr>
        <w:ilvl w:val="8"/>
        <w:numId w:val="2"/>
      </w:numPr>
      <w:spacing w:before="200"/>
      <w:outlineLvl w:val="8"/>
    </w:pPr>
    <w:rPr>
      <w:rFonts w:asciiTheme="majorHAnsi" w:eastAsiaTheme="majorEastAsia" w:hAnsiTheme="majorHAnsi" w:cstheme="majorBidi"/>
      <w:i/>
      <w:iCs/>
      <w:color w:val="404040" w:themeColor="text1" w:themeTint="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basedOn w:val="DefaultParagraphFont"/>
    <w:link w:val="Heading6"/>
    <w:uiPriority w:val="99"/>
    <w:rsid w:val="0050141C"/>
    <w:rPr>
      <w:rFonts w:ascii="Arial" w:eastAsia="Times New Roman" w:hAnsi="Arial" w:cs="Times New Roman"/>
      <w:bCs/>
      <w:color w:val="009AA3"/>
      <w:szCs w:val="20"/>
      <w:lang w:val="en-US"/>
    </w:rPr>
  </w:style>
  <w:style w:type="paragraph" w:styleId="Header">
    <w:name w:val="header"/>
    <w:basedOn w:val="Normal"/>
    <w:link w:val="HeaderChar"/>
    <w:uiPriority w:val="99"/>
    <w:rsid w:val="00C74626"/>
    <w:pPr>
      <w:tabs>
        <w:tab w:val="center" w:pos="4320"/>
        <w:tab w:val="right" w:pos="8640"/>
      </w:tabs>
    </w:pPr>
  </w:style>
  <w:style w:type="character" w:customStyle="1" w:styleId="HeaderChar">
    <w:name w:val="Header Char"/>
    <w:basedOn w:val="DefaultParagraphFont"/>
    <w:link w:val="Header"/>
    <w:uiPriority w:val="99"/>
    <w:rsid w:val="00C74626"/>
    <w:rPr>
      <w:rFonts w:ascii="Arial" w:eastAsia="Times New Roman" w:hAnsi="Arial" w:cs="Times New Roman"/>
      <w:sz w:val="24"/>
      <w:szCs w:val="20"/>
    </w:rPr>
  </w:style>
  <w:style w:type="paragraph" w:styleId="Footer">
    <w:name w:val="footer"/>
    <w:basedOn w:val="Normal"/>
    <w:link w:val="FooterChar"/>
    <w:uiPriority w:val="99"/>
    <w:unhideWhenUsed/>
    <w:rsid w:val="00C83C40"/>
    <w:pPr>
      <w:tabs>
        <w:tab w:val="center" w:pos="4513"/>
        <w:tab w:val="right" w:pos="9026"/>
      </w:tabs>
    </w:pPr>
  </w:style>
  <w:style w:type="character" w:customStyle="1" w:styleId="FooterChar">
    <w:name w:val="Footer Char"/>
    <w:basedOn w:val="DefaultParagraphFont"/>
    <w:link w:val="Footer"/>
    <w:uiPriority w:val="99"/>
    <w:rsid w:val="00C83C40"/>
    <w:rPr>
      <w:rFonts w:ascii="Arial" w:eastAsia="Times New Roman" w:hAnsi="Arial" w:cs="Times New Roman"/>
      <w:sz w:val="24"/>
      <w:szCs w:val="20"/>
    </w:rPr>
  </w:style>
  <w:style w:type="table" w:styleId="TableGrid">
    <w:name w:val="Table Grid"/>
    <w:basedOn w:val="TableNormal"/>
    <w:uiPriority w:val="59"/>
    <w:rsid w:val="00C83C40"/>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C83C40"/>
    <w:rPr>
      <w:rFonts w:ascii="Tahoma" w:hAnsi="Tahoma" w:cs="Tahoma"/>
      <w:sz w:val="16"/>
      <w:szCs w:val="16"/>
    </w:rPr>
  </w:style>
  <w:style w:type="character" w:customStyle="1" w:styleId="BalloonTextChar">
    <w:name w:val="Balloon Text Char"/>
    <w:basedOn w:val="DefaultParagraphFont"/>
    <w:link w:val="BalloonText"/>
    <w:uiPriority w:val="99"/>
    <w:semiHidden/>
    <w:rsid w:val="00C83C40"/>
    <w:rPr>
      <w:rFonts w:ascii="Tahoma" w:eastAsia="Times New Roman" w:hAnsi="Tahoma" w:cs="Tahoma"/>
      <w:sz w:val="16"/>
      <w:szCs w:val="16"/>
    </w:rPr>
  </w:style>
  <w:style w:type="paragraph" w:styleId="ListParagraph">
    <w:name w:val="List Paragraph"/>
    <w:basedOn w:val="Normal"/>
    <w:link w:val="ListParagraphChar"/>
    <w:uiPriority w:val="34"/>
    <w:qFormat/>
    <w:rsid w:val="000F68DD"/>
    <w:pPr>
      <w:spacing w:before="120" w:line="276" w:lineRule="auto"/>
      <w:ind w:left="720"/>
      <w:contextualSpacing/>
    </w:pPr>
    <w:rPr>
      <w:rFonts w:eastAsiaTheme="minorHAnsi" w:cstheme="minorBidi"/>
      <w:szCs w:val="22"/>
    </w:rPr>
  </w:style>
  <w:style w:type="character" w:styleId="PlaceholderText">
    <w:name w:val="Placeholder Text"/>
    <w:basedOn w:val="DefaultParagraphFont"/>
    <w:uiPriority w:val="99"/>
    <w:semiHidden/>
    <w:rsid w:val="00CE0DDA"/>
    <w:rPr>
      <w:color w:val="808080"/>
    </w:rPr>
  </w:style>
  <w:style w:type="character" w:customStyle="1" w:styleId="Heading1Char">
    <w:name w:val="Heading 1 Char"/>
    <w:aliases w:val="Heading 1 Galloper Char,MainHeading Char,GyM FDS Heading 1 Char,Überschrift Wiss Zchn Zchn Char,Char Char,Overskrift 1 Tegn1 Char,Overskrift 1 Tegn Tegn Char,level 1 Char,level1 Char,LAF1 Char,Triton Knoll Char,ADVICE 1 Char,h1 Char"/>
    <w:basedOn w:val="DefaultParagraphFont"/>
    <w:link w:val="Heading1"/>
    <w:uiPriority w:val="99"/>
    <w:rsid w:val="00F570A9"/>
    <w:rPr>
      <w:rFonts w:ascii="Arial" w:eastAsia="Calibri" w:hAnsi="Arial" w:cs="Times New Roman"/>
      <w:b/>
      <w:caps/>
      <w:color w:val="1D4477" w:themeColor="accent1"/>
      <w:sz w:val="36"/>
      <w:u w:color="3ED8BD" w:themeColor="accent2"/>
    </w:rPr>
  </w:style>
  <w:style w:type="character" w:customStyle="1" w:styleId="Heading2Char">
    <w:name w:val="Heading 2 Char"/>
    <w:aliases w:val="Heading 2 Galloper Char,GyM FDS Heading 2 Char,Address Footer Char,Char1 Char,Afsnit primæroverskrift Char,level 2 Char,level2 Char,OG Heading 2 Char,Chapter Title Char,LAF2 Char,2 Char,Section head Char,L2 Char,SH Char,. (1.1) Char"/>
    <w:basedOn w:val="DefaultParagraphFont"/>
    <w:link w:val="Heading2"/>
    <w:uiPriority w:val="99"/>
    <w:rsid w:val="006A7072"/>
    <w:rPr>
      <w:rFonts w:ascii="Arial" w:eastAsiaTheme="majorEastAsia" w:hAnsi="Arial" w:cstheme="majorBidi"/>
      <w:b/>
      <w:bCs/>
      <w:caps/>
      <w:color w:val="3ED8BD" w:themeColor="accent2"/>
      <w:sz w:val="28"/>
      <w:szCs w:val="26"/>
      <w:lang w:val="en-US"/>
    </w:rPr>
  </w:style>
  <w:style w:type="character" w:customStyle="1" w:styleId="Heading3Char">
    <w:name w:val="Heading 3 Char"/>
    <w:aliases w:val="Heading 3 Galloper Char,Brødtekst med nummer Char,level 3 Char,level3 Char,Tegn Char,Overskr 3 Char,Section SubHeading Char,L3 Char,Report sub head Char,SBH Char,rb Char,. (1.1.1) Char,Letter Level 2 Char,(Normal) Char,r Char"/>
    <w:basedOn w:val="DefaultParagraphFont"/>
    <w:link w:val="Heading3"/>
    <w:uiPriority w:val="9"/>
    <w:rsid w:val="00DE0F1D"/>
    <w:rPr>
      <w:rFonts w:ascii="Arial" w:eastAsia="Times New Roman" w:hAnsi="Arial" w:cs="Times New Roman"/>
      <w:b/>
      <w:caps/>
      <w:color w:val="3ED8BD" w:themeColor="accent2"/>
    </w:rPr>
  </w:style>
  <w:style w:type="paragraph" w:styleId="NoSpacing">
    <w:name w:val="No Spacing"/>
    <w:aliases w:val="Front Page Sub Title"/>
    <w:uiPriority w:val="1"/>
    <w:rsid w:val="00FC05D5"/>
    <w:pPr>
      <w:spacing w:after="0" w:line="240" w:lineRule="auto"/>
    </w:pPr>
    <w:rPr>
      <w:rFonts w:eastAsia="Times New Roman" w:cs="Times New Roman"/>
      <w:sz w:val="28"/>
    </w:rPr>
  </w:style>
  <w:style w:type="paragraph" w:styleId="TOCHeading">
    <w:name w:val="TOC Heading"/>
    <w:aliases w:val="Contents heading"/>
    <w:basedOn w:val="Heading1"/>
    <w:next w:val="Normal"/>
    <w:uiPriority w:val="39"/>
    <w:unhideWhenUsed/>
    <w:qFormat/>
    <w:rsid w:val="006061C7"/>
    <w:pPr>
      <w:numPr>
        <w:numId w:val="0"/>
      </w:numPr>
      <w:spacing w:line="276" w:lineRule="auto"/>
      <w:outlineLvl w:val="9"/>
    </w:pPr>
    <w:rPr>
      <w:caps w:val="0"/>
      <w:lang w:val="en-US" w:eastAsia="ja-JP"/>
    </w:rPr>
  </w:style>
  <w:style w:type="paragraph" w:styleId="TOC1">
    <w:name w:val="toc 1"/>
    <w:basedOn w:val="Normal"/>
    <w:next w:val="Normal"/>
    <w:autoRedefine/>
    <w:uiPriority w:val="39"/>
    <w:unhideWhenUsed/>
    <w:rsid w:val="00CC5783"/>
    <w:pPr>
      <w:spacing w:after="100"/>
    </w:pPr>
  </w:style>
  <w:style w:type="paragraph" w:styleId="TOC2">
    <w:name w:val="toc 2"/>
    <w:basedOn w:val="Normal"/>
    <w:next w:val="Normal"/>
    <w:autoRedefine/>
    <w:uiPriority w:val="39"/>
    <w:unhideWhenUsed/>
    <w:rsid w:val="00CC5783"/>
    <w:pPr>
      <w:spacing w:after="100"/>
      <w:ind w:left="220"/>
    </w:pPr>
  </w:style>
  <w:style w:type="paragraph" w:styleId="TOC3">
    <w:name w:val="toc 3"/>
    <w:basedOn w:val="Normal"/>
    <w:next w:val="Normal"/>
    <w:autoRedefine/>
    <w:uiPriority w:val="39"/>
    <w:unhideWhenUsed/>
    <w:rsid w:val="00CC5783"/>
    <w:pPr>
      <w:spacing w:after="100"/>
      <w:ind w:left="440"/>
    </w:pPr>
  </w:style>
  <w:style w:type="character" w:styleId="Hyperlink">
    <w:name w:val="Hyperlink"/>
    <w:basedOn w:val="DefaultParagraphFont"/>
    <w:uiPriority w:val="99"/>
    <w:unhideWhenUsed/>
    <w:rsid w:val="00CC5783"/>
    <w:rPr>
      <w:color w:val="1D4477" w:themeColor="hyperlink"/>
      <w:u w:val="single"/>
    </w:rPr>
  </w:style>
  <w:style w:type="character" w:styleId="CommentReference">
    <w:name w:val="annotation reference"/>
    <w:basedOn w:val="DefaultParagraphFont"/>
    <w:uiPriority w:val="99"/>
    <w:semiHidden/>
    <w:unhideWhenUsed/>
    <w:rsid w:val="007C37C3"/>
    <w:rPr>
      <w:sz w:val="16"/>
      <w:szCs w:val="16"/>
    </w:rPr>
  </w:style>
  <w:style w:type="paragraph" w:styleId="CommentText">
    <w:name w:val="annotation text"/>
    <w:basedOn w:val="Normal"/>
    <w:link w:val="CommentTextChar"/>
    <w:uiPriority w:val="99"/>
    <w:unhideWhenUsed/>
    <w:rsid w:val="007C37C3"/>
    <w:rPr>
      <w:sz w:val="20"/>
    </w:rPr>
  </w:style>
  <w:style w:type="character" w:customStyle="1" w:styleId="CommentTextChar">
    <w:name w:val="Comment Text Char"/>
    <w:basedOn w:val="DefaultParagraphFont"/>
    <w:link w:val="CommentText"/>
    <w:uiPriority w:val="99"/>
    <w:rsid w:val="007C37C3"/>
    <w:rPr>
      <w:rFonts w:eastAsia="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7C37C3"/>
    <w:rPr>
      <w:b/>
      <w:bCs/>
    </w:rPr>
  </w:style>
  <w:style w:type="character" w:customStyle="1" w:styleId="CommentSubjectChar">
    <w:name w:val="Comment Subject Char"/>
    <w:basedOn w:val="CommentTextChar"/>
    <w:link w:val="CommentSubject"/>
    <w:uiPriority w:val="99"/>
    <w:semiHidden/>
    <w:rsid w:val="007C37C3"/>
    <w:rPr>
      <w:rFonts w:eastAsia="Times New Roman" w:cs="Times New Roman"/>
      <w:b/>
      <w:bCs/>
      <w:sz w:val="20"/>
      <w:szCs w:val="20"/>
    </w:rPr>
  </w:style>
  <w:style w:type="character" w:customStyle="1" w:styleId="Heading4Char">
    <w:name w:val="Heading 4 Char"/>
    <w:aliases w:val="Heading 4 Galloper Char"/>
    <w:basedOn w:val="DefaultParagraphFont"/>
    <w:link w:val="Heading4"/>
    <w:uiPriority w:val="9"/>
    <w:rsid w:val="00765A9F"/>
    <w:rPr>
      <w:rFonts w:eastAsia="Times New Roman" w:cs="Times New Roman"/>
      <w:bCs/>
      <w:iCs/>
    </w:rPr>
  </w:style>
  <w:style w:type="character" w:customStyle="1" w:styleId="Heading5Char">
    <w:name w:val="Heading 5 Char"/>
    <w:aliases w:val="Appendix Galloper Char"/>
    <w:basedOn w:val="DefaultParagraphFont"/>
    <w:link w:val="Heading5"/>
    <w:uiPriority w:val="9"/>
    <w:rsid w:val="000C52A4"/>
    <w:rPr>
      <w:rFonts w:eastAsia="Times New Roman" w:cs="Times New Roman"/>
      <w:b/>
      <w:bCs/>
      <w:iCs/>
    </w:rPr>
  </w:style>
  <w:style w:type="character" w:customStyle="1" w:styleId="Heading7Char">
    <w:name w:val="Heading 7 Char"/>
    <w:basedOn w:val="DefaultParagraphFont"/>
    <w:link w:val="Heading7"/>
    <w:uiPriority w:val="99"/>
    <w:semiHidden/>
    <w:rsid w:val="00F1205C"/>
    <w:rPr>
      <w:rFonts w:ascii="Arial" w:eastAsiaTheme="majorEastAsia" w:hAnsi="Arial" w:cstheme="majorBidi"/>
      <w:i/>
      <w:iCs/>
      <w:color w:val="404040" w:themeColor="text1" w:themeTint="BF"/>
      <w:szCs w:val="20"/>
    </w:rPr>
  </w:style>
  <w:style w:type="character" w:customStyle="1" w:styleId="Heading8Char">
    <w:name w:val="Heading 8 Char"/>
    <w:basedOn w:val="DefaultParagraphFont"/>
    <w:link w:val="Heading8"/>
    <w:uiPriority w:val="99"/>
    <w:semiHidden/>
    <w:rsid w:val="006A5955"/>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6A5955"/>
    <w:rPr>
      <w:rFonts w:asciiTheme="majorHAnsi" w:eastAsiaTheme="majorEastAsia" w:hAnsiTheme="majorHAnsi" w:cstheme="majorBidi"/>
      <w:i/>
      <w:iCs/>
      <w:color w:val="404040" w:themeColor="text1" w:themeTint="BF"/>
      <w:sz w:val="20"/>
      <w:szCs w:val="20"/>
    </w:rPr>
  </w:style>
  <w:style w:type="table" w:styleId="LightShading-Accent1">
    <w:name w:val="Light Shading Accent 1"/>
    <w:basedOn w:val="TableNormal"/>
    <w:uiPriority w:val="60"/>
    <w:rsid w:val="00AD5909"/>
    <w:pPr>
      <w:spacing w:after="0" w:line="240" w:lineRule="auto"/>
    </w:pPr>
    <w:rPr>
      <w:color w:val="153258" w:themeColor="accent1" w:themeShade="BF"/>
    </w:rPr>
    <w:tblPr>
      <w:tblStyleRowBandSize w:val="1"/>
      <w:tblStyleColBandSize w:val="1"/>
      <w:tblBorders>
        <w:top w:val="single" w:sz="8" w:space="0" w:color="1D4477" w:themeColor="accent1"/>
        <w:bottom w:val="single" w:sz="8" w:space="0" w:color="1D4477" w:themeColor="accent1"/>
      </w:tblBorders>
    </w:tblPr>
    <w:tblStylePr w:type="firstRow">
      <w:pPr>
        <w:spacing w:before="0" w:after="0" w:line="240" w:lineRule="auto"/>
      </w:pPr>
      <w:rPr>
        <w:b/>
        <w:bCs/>
      </w:rPr>
      <w:tblPr/>
      <w:tcPr>
        <w:tcBorders>
          <w:top w:val="single" w:sz="8" w:space="0" w:color="1D4477" w:themeColor="accent1"/>
          <w:left w:val="nil"/>
          <w:bottom w:val="single" w:sz="8" w:space="0" w:color="1D4477" w:themeColor="accent1"/>
          <w:right w:val="nil"/>
          <w:insideH w:val="nil"/>
          <w:insideV w:val="nil"/>
        </w:tcBorders>
      </w:tcPr>
    </w:tblStylePr>
    <w:tblStylePr w:type="lastRow">
      <w:pPr>
        <w:spacing w:before="0" w:after="0" w:line="240" w:lineRule="auto"/>
      </w:pPr>
      <w:rPr>
        <w:b/>
        <w:bCs/>
      </w:rPr>
      <w:tblPr/>
      <w:tcPr>
        <w:tcBorders>
          <w:top w:val="single" w:sz="8" w:space="0" w:color="1D4477" w:themeColor="accent1"/>
          <w:left w:val="nil"/>
          <w:bottom w:val="single" w:sz="8" w:space="0" w:color="1D4477"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6CEED" w:themeFill="accent1" w:themeFillTint="3F"/>
      </w:tcPr>
    </w:tblStylePr>
    <w:tblStylePr w:type="band1Horz">
      <w:tblPr/>
      <w:tcPr>
        <w:tcBorders>
          <w:left w:val="nil"/>
          <w:right w:val="nil"/>
          <w:insideH w:val="nil"/>
          <w:insideV w:val="nil"/>
        </w:tcBorders>
        <w:shd w:val="clear" w:color="auto" w:fill="B6CEED" w:themeFill="accent1" w:themeFillTint="3F"/>
      </w:tcPr>
    </w:tblStylePr>
  </w:style>
  <w:style w:type="paragraph" w:styleId="Caption">
    <w:name w:val="caption"/>
    <w:aliases w:val="SOWFL Caption"/>
    <w:basedOn w:val="Normal"/>
    <w:next w:val="Normal"/>
    <w:uiPriority w:val="35"/>
    <w:unhideWhenUsed/>
    <w:qFormat/>
    <w:rsid w:val="00BD1A77"/>
    <w:pPr>
      <w:keepNext/>
    </w:pPr>
    <w:rPr>
      <w:b/>
      <w:bCs/>
      <w:sz w:val="18"/>
      <w:szCs w:val="18"/>
    </w:rPr>
  </w:style>
  <w:style w:type="paragraph" w:styleId="TableofFigures">
    <w:name w:val="table of figures"/>
    <w:basedOn w:val="Normal"/>
    <w:next w:val="Normal"/>
    <w:uiPriority w:val="99"/>
    <w:unhideWhenUsed/>
    <w:rsid w:val="00AD5909"/>
  </w:style>
  <w:style w:type="paragraph" w:styleId="Title">
    <w:name w:val="Title"/>
    <w:aliases w:val="Front Page Main Title"/>
    <w:basedOn w:val="Normal"/>
    <w:next w:val="Normal"/>
    <w:link w:val="TitleChar"/>
    <w:uiPriority w:val="10"/>
    <w:rsid w:val="00BC764D"/>
    <w:pPr>
      <w:spacing w:before="240"/>
    </w:pPr>
    <w:rPr>
      <w:rFonts w:eastAsiaTheme="minorHAnsi" w:cstheme="minorBidi"/>
      <w:b/>
      <w:sz w:val="90"/>
      <w:szCs w:val="90"/>
    </w:rPr>
  </w:style>
  <w:style w:type="character" w:customStyle="1" w:styleId="TitleChar">
    <w:name w:val="Title Char"/>
    <w:aliases w:val="Front Page Main Title Char"/>
    <w:basedOn w:val="DefaultParagraphFont"/>
    <w:link w:val="Title"/>
    <w:uiPriority w:val="10"/>
    <w:rsid w:val="00BC764D"/>
    <w:rPr>
      <w:b/>
      <w:sz w:val="90"/>
      <w:szCs w:val="90"/>
    </w:rPr>
  </w:style>
  <w:style w:type="paragraph" w:styleId="Subtitle">
    <w:name w:val="Subtitle"/>
    <w:aliases w:val="Header Title"/>
    <w:basedOn w:val="Header"/>
    <w:next w:val="Normal"/>
    <w:link w:val="SubtitleChar"/>
    <w:uiPriority w:val="11"/>
    <w:rsid w:val="00F1205C"/>
    <w:pPr>
      <w:tabs>
        <w:tab w:val="clear" w:pos="4320"/>
        <w:tab w:val="clear" w:pos="8640"/>
        <w:tab w:val="center" w:pos="4513"/>
      </w:tabs>
      <w:spacing w:after="240"/>
    </w:pPr>
    <w:rPr>
      <w:rFonts w:eastAsia="Calibri"/>
      <w:noProof/>
      <w:color w:val="00366D"/>
      <w:sz w:val="17"/>
      <w:szCs w:val="17"/>
      <w:lang w:eastAsia="en-GB"/>
    </w:rPr>
  </w:style>
  <w:style w:type="character" w:customStyle="1" w:styleId="SubtitleChar">
    <w:name w:val="Subtitle Char"/>
    <w:aliases w:val="Header Title Char"/>
    <w:basedOn w:val="DefaultParagraphFont"/>
    <w:link w:val="Subtitle"/>
    <w:uiPriority w:val="11"/>
    <w:rsid w:val="00F1205C"/>
    <w:rPr>
      <w:rFonts w:eastAsia="Calibri" w:cs="Times New Roman"/>
      <w:noProof/>
      <w:color w:val="00366D"/>
      <w:sz w:val="17"/>
      <w:szCs w:val="17"/>
      <w:lang w:eastAsia="en-GB"/>
    </w:rPr>
  </w:style>
  <w:style w:type="paragraph" w:styleId="EndnoteText">
    <w:name w:val="endnote text"/>
    <w:basedOn w:val="Normal"/>
    <w:link w:val="EndnoteTextChar"/>
    <w:uiPriority w:val="99"/>
    <w:semiHidden/>
    <w:unhideWhenUsed/>
    <w:rsid w:val="00D3776C"/>
    <w:rPr>
      <w:sz w:val="20"/>
    </w:rPr>
  </w:style>
  <w:style w:type="character" w:customStyle="1" w:styleId="EndnoteTextChar">
    <w:name w:val="Endnote Text Char"/>
    <w:basedOn w:val="DefaultParagraphFont"/>
    <w:link w:val="EndnoteText"/>
    <w:uiPriority w:val="99"/>
    <w:semiHidden/>
    <w:rsid w:val="00D3776C"/>
    <w:rPr>
      <w:rFonts w:eastAsia="Times New Roman" w:cs="Times New Roman"/>
      <w:sz w:val="20"/>
      <w:szCs w:val="20"/>
    </w:rPr>
  </w:style>
  <w:style w:type="character" w:styleId="EndnoteReference">
    <w:name w:val="endnote reference"/>
    <w:basedOn w:val="DefaultParagraphFont"/>
    <w:uiPriority w:val="99"/>
    <w:semiHidden/>
    <w:unhideWhenUsed/>
    <w:rsid w:val="00D3776C"/>
    <w:rPr>
      <w:vertAlign w:val="superscript"/>
    </w:rPr>
  </w:style>
  <w:style w:type="paragraph" w:styleId="FootnoteText">
    <w:name w:val="footnote text"/>
    <w:aliases w:val="Wis"/>
    <w:basedOn w:val="Normal"/>
    <w:link w:val="FootnoteTextChar"/>
    <w:semiHidden/>
    <w:unhideWhenUsed/>
    <w:qFormat/>
    <w:rsid w:val="00CD14A1"/>
    <w:rPr>
      <w:sz w:val="20"/>
    </w:rPr>
  </w:style>
  <w:style w:type="character" w:customStyle="1" w:styleId="FootnoteTextChar">
    <w:name w:val="Footnote Text Char"/>
    <w:aliases w:val="Wis Char"/>
    <w:basedOn w:val="DefaultParagraphFont"/>
    <w:link w:val="FootnoteText"/>
    <w:semiHidden/>
    <w:rsid w:val="00CD14A1"/>
    <w:rPr>
      <w:rFonts w:eastAsia="Times New Roman" w:cs="Times New Roman"/>
      <w:sz w:val="20"/>
      <w:szCs w:val="20"/>
    </w:rPr>
  </w:style>
  <w:style w:type="character" w:styleId="FootnoteReference">
    <w:name w:val="footnote reference"/>
    <w:basedOn w:val="DefaultParagraphFont"/>
    <w:semiHidden/>
    <w:unhideWhenUsed/>
    <w:rsid w:val="00CD14A1"/>
    <w:rPr>
      <w:vertAlign w:val="superscript"/>
    </w:rPr>
  </w:style>
  <w:style w:type="table" w:styleId="LightList-Accent1">
    <w:name w:val="Light List Accent 1"/>
    <w:basedOn w:val="TableNormal"/>
    <w:uiPriority w:val="61"/>
    <w:rsid w:val="0091509A"/>
    <w:pPr>
      <w:spacing w:after="0" w:line="240" w:lineRule="auto"/>
    </w:pPr>
    <w:tblPr>
      <w:tblStyleRowBandSize w:val="1"/>
      <w:tblStyleColBandSize w:val="1"/>
      <w:tblBorders>
        <w:top w:val="single" w:sz="8" w:space="0" w:color="1D4477" w:themeColor="accent1"/>
        <w:left w:val="single" w:sz="8" w:space="0" w:color="1D4477" w:themeColor="accent1"/>
        <w:bottom w:val="single" w:sz="8" w:space="0" w:color="1D4477" w:themeColor="accent1"/>
        <w:right w:val="single" w:sz="8" w:space="0" w:color="1D4477" w:themeColor="accent1"/>
      </w:tblBorders>
    </w:tblPr>
    <w:tblStylePr w:type="firstRow">
      <w:pPr>
        <w:spacing w:before="0" w:after="0" w:line="240" w:lineRule="auto"/>
      </w:pPr>
      <w:rPr>
        <w:b/>
        <w:bCs/>
        <w:color w:val="FFFFFF" w:themeColor="background1"/>
      </w:rPr>
      <w:tblPr/>
      <w:tcPr>
        <w:shd w:val="clear" w:color="auto" w:fill="1D4477" w:themeFill="accent1"/>
      </w:tcPr>
    </w:tblStylePr>
    <w:tblStylePr w:type="lastRow">
      <w:pPr>
        <w:spacing w:before="0" w:after="0" w:line="240" w:lineRule="auto"/>
      </w:pPr>
      <w:rPr>
        <w:b/>
        <w:bCs/>
      </w:rPr>
      <w:tblPr/>
      <w:tcPr>
        <w:tcBorders>
          <w:top w:val="double" w:sz="6" w:space="0" w:color="1D4477" w:themeColor="accent1"/>
          <w:left w:val="single" w:sz="8" w:space="0" w:color="1D4477" w:themeColor="accent1"/>
          <w:bottom w:val="single" w:sz="8" w:space="0" w:color="1D4477" w:themeColor="accent1"/>
          <w:right w:val="single" w:sz="8" w:space="0" w:color="1D4477" w:themeColor="accent1"/>
        </w:tcBorders>
      </w:tcPr>
    </w:tblStylePr>
    <w:tblStylePr w:type="firstCol">
      <w:rPr>
        <w:b/>
        <w:bCs/>
      </w:rPr>
    </w:tblStylePr>
    <w:tblStylePr w:type="lastCol">
      <w:rPr>
        <w:b/>
        <w:bCs/>
      </w:rPr>
    </w:tblStylePr>
    <w:tblStylePr w:type="band1Vert">
      <w:tblPr/>
      <w:tcPr>
        <w:tcBorders>
          <w:top w:val="single" w:sz="8" w:space="0" w:color="1D4477" w:themeColor="accent1"/>
          <w:left w:val="single" w:sz="8" w:space="0" w:color="1D4477" w:themeColor="accent1"/>
          <w:bottom w:val="single" w:sz="8" w:space="0" w:color="1D4477" w:themeColor="accent1"/>
          <w:right w:val="single" w:sz="8" w:space="0" w:color="1D4477" w:themeColor="accent1"/>
        </w:tcBorders>
      </w:tcPr>
    </w:tblStylePr>
    <w:tblStylePr w:type="band1Horz">
      <w:tblPr/>
      <w:tcPr>
        <w:tcBorders>
          <w:top w:val="single" w:sz="8" w:space="0" w:color="1D4477" w:themeColor="accent1"/>
          <w:left w:val="single" w:sz="8" w:space="0" w:color="1D4477" w:themeColor="accent1"/>
          <w:bottom w:val="single" w:sz="8" w:space="0" w:color="1D4477" w:themeColor="accent1"/>
          <w:right w:val="single" w:sz="8" w:space="0" w:color="1D4477" w:themeColor="accent1"/>
        </w:tcBorders>
      </w:tcPr>
    </w:tblStylePr>
  </w:style>
  <w:style w:type="paragraph" w:customStyle="1" w:styleId="AppendixHeading">
    <w:name w:val="Appendix Heading"/>
    <w:basedOn w:val="Heading1"/>
    <w:next w:val="Normal"/>
    <w:link w:val="AppendixHeadingChar"/>
    <w:rsid w:val="00595526"/>
    <w:pPr>
      <w:numPr>
        <w:numId w:val="0"/>
      </w:numPr>
    </w:pPr>
    <w:rPr>
      <w:lang w:val="en-US"/>
    </w:rPr>
  </w:style>
  <w:style w:type="character" w:styleId="SubtleEmphasis">
    <w:name w:val="Subtle Emphasis"/>
    <w:aliases w:val="Page 2 Title"/>
    <w:uiPriority w:val="19"/>
    <w:rsid w:val="00C74E2F"/>
    <w:rPr>
      <w:sz w:val="26"/>
      <w:szCs w:val="26"/>
    </w:rPr>
  </w:style>
  <w:style w:type="character" w:styleId="Emphasis">
    <w:name w:val="Emphasis"/>
    <w:basedOn w:val="DefaultParagraphFont"/>
    <w:uiPriority w:val="20"/>
    <w:qFormat/>
    <w:rsid w:val="00F1205C"/>
    <w:rPr>
      <w:rFonts w:asciiTheme="minorHAnsi" w:hAnsiTheme="minorHAnsi"/>
      <w:i/>
      <w:iCs/>
    </w:rPr>
  </w:style>
  <w:style w:type="character" w:customStyle="1" w:styleId="AppendixHeadingChar">
    <w:name w:val="Appendix Heading Char"/>
    <w:basedOn w:val="Heading1Char"/>
    <w:link w:val="AppendixHeading"/>
    <w:rsid w:val="00300231"/>
    <w:rPr>
      <w:rFonts w:ascii="Arial" w:eastAsia="Calibri" w:hAnsi="Arial" w:cs="Times New Roman"/>
      <w:b/>
      <w:caps/>
      <w:color w:val="36394D"/>
      <w:sz w:val="28"/>
      <w:u w:color="3ED8BD" w:themeColor="accent2"/>
      <w:lang w:val="en-US"/>
    </w:rPr>
  </w:style>
  <w:style w:type="table" w:styleId="LightGrid">
    <w:name w:val="Light Grid"/>
    <w:aliases w:val="Innogy Table"/>
    <w:basedOn w:val="TableNormal"/>
    <w:uiPriority w:val="62"/>
    <w:rsid w:val="00246F8F"/>
    <w:pPr>
      <w:spacing w:after="0" w:line="240" w:lineRule="auto"/>
    </w:pPr>
    <w:tblPr>
      <w:tblStyleRowBandSize w:val="1"/>
      <w:tblStyleColBandSize w:val="1"/>
      <w:tblBorders>
        <w:top w:val="single" w:sz="4" w:space="0" w:color="auto"/>
        <w:bottom w:val="single" w:sz="4" w:space="0" w:color="auto"/>
        <w:insideH w:val="single" w:sz="4" w:space="0" w:color="auto"/>
      </w:tblBorders>
      <w:tblCellMar>
        <w:top w:w="28" w:type="dxa"/>
        <w:bottom w:w="28" w:type="dxa"/>
      </w:tblCellMar>
    </w:tblPr>
    <w:tcPr>
      <w:vAlign w:val="center"/>
    </w:tcPr>
    <w:tblStylePr w:type="firstRow">
      <w:pPr>
        <w:spacing w:before="0" w:after="0" w:line="240" w:lineRule="auto"/>
        <w:jc w:val="left"/>
      </w:pPr>
      <w:rPr>
        <w:rFonts w:asciiTheme="minorHAnsi" w:eastAsiaTheme="majorEastAsia" w:hAnsiTheme="minorHAnsi" w:cstheme="majorBidi"/>
        <w:b/>
        <w:bCs/>
        <w:color w:val="FFFFFF" w:themeColor="background1"/>
        <w:sz w:val="22"/>
      </w:rPr>
      <w:tblPr/>
      <w:tcPr>
        <w:shd w:val="clear" w:color="auto" w:fill="006D72"/>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pPr>
        <w:jc w:val="left"/>
      </w:pPr>
      <w:rPr>
        <w:rFonts w:asciiTheme="minorHAnsi" w:eastAsiaTheme="majorEastAsia" w:hAnsiTheme="minorHAnsi" w:cstheme="majorBidi"/>
        <w:b w:val="0"/>
        <w:bCs/>
        <w:sz w:val="22"/>
      </w:rPr>
      <w:tblPr/>
      <w:tcPr>
        <w:tcBorders>
          <w:top w:val="single" w:sz="4" w:space="0" w:color="auto"/>
          <w:bottom w:val="single" w:sz="4" w:space="0" w:color="auto"/>
          <w:insideH w:val="single" w:sz="4" w:space="0" w:color="auto"/>
        </w:tcBorders>
      </w:tcPr>
    </w:tblStylePr>
    <w:tblStylePr w:type="lastCol">
      <w:pPr>
        <w:jc w:val="left"/>
      </w:pPr>
      <w:rPr>
        <w:rFonts w:asciiTheme="minorHAnsi" w:eastAsiaTheme="majorEastAsia" w:hAnsiTheme="minorHAnsi" w:cstheme="majorBidi"/>
        <w:b w:val="0"/>
        <w:bCs/>
        <w:sz w:val="22"/>
      </w:rPr>
      <w:tblPr/>
      <w:tcPr>
        <w:tcBorders>
          <w:top w:val="single" w:sz="4" w:space="0" w:color="auto"/>
          <w:left w:val="nil"/>
          <w:bottom w:val="single" w:sz="4" w:space="0" w:color="auto"/>
          <w:right w:val="nil"/>
          <w:insideH w:val="single" w:sz="4" w:space="0" w:color="auto"/>
          <w:insideV w:val="nil"/>
          <w:tl2br w:val="nil"/>
          <w:tr2bl w:val="nil"/>
        </w:tcBorders>
      </w:tcPr>
    </w:tblStylePr>
    <w:tblStylePr w:type="band1Vert">
      <w:tblPr/>
      <w:tcPr>
        <w:tcBorders>
          <w:top w:val="single" w:sz="4" w:space="0" w:color="auto"/>
          <w:left w:val="nil"/>
          <w:bottom w:val="single" w:sz="4" w:space="0" w:color="auto"/>
          <w:right w:val="nil"/>
          <w:insideH w:val="single" w:sz="4" w:space="0" w:color="auto"/>
          <w:insideV w:val="nil"/>
          <w:tl2br w:val="nil"/>
          <w:tr2bl w:val="nil"/>
        </w:tcBorders>
      </w:tcPr>
    </w:tblStylePr>
    <w:tblStylePr w:type="band2Vert">
      <w:tblPr/>
      <w:tcPr>
        <w:tcBorders>
          <w:top w:val="single" w:sz="4" w:space="0" w:color="auto"/>
          <w:bottom w:val="single" w:sz="4" w:space="0" w:color="auto"/>
          <w:insideH w:val="single" w:sz="4" w:space="0" w:color="auto"/>
        </w:tcBorders>
      </w:tcPr>
    </w:tblStylePr>
    <w:tblStylePr w:type="band1Horz">
      <w:tblPr/>
      <w:tcPr>
        <w:tcBorders>
          <w:top w:val="single" w:sz="4" w:space="0" w:color="auto"/>
          <w:left w:val="nil"/>
          <w:bottom w:val="single" w:sz="4" w:space="0" w:color="auto"/>
          <w:right w:val="nil"/>
          <w:insideH w:val="single" w:sz="4" w:space="0" w:color="auto"/>
          <w:insideV w:val="nil"/>
          <w:tl2br w:val="nil"/>
          <w:tr2bl w:val="nil"/>
        </w:tcBorders>
      </w:tcPr>
    </w:tblStylePr>
    <w:tblStylePr w:type="band2Horz">
      <w:tblPr/>
      <w:tcPr>
        <w:tcBorders>
          <w:top w:val="single" w:sz="4" w:space="0" w:color="auto"/>
          <w:left w:val="nil"/>
          <w:bottom w:val="single" w:sz="4" w:space="0" w:color="auto"/>
          <w:right w:val="nil"/>
          <w:insideH w:val="single" w:sz="4" w:space="0" w:color="auto"/>
          <w:insideV w:val="nil"/>
          <w:tl2br w:val="nil"/>
          <w:tr2bl w:val="nil"/>
        </w:tcBorders>
      </w:tcPr>
    </w:tblStylePr>
  </w:style>
  <w:style w:type="table" w:styleId="MediumShading1-Accent1">
    <w:name w:val="Medium Shading 1 Accent 1"/>
    <w:basedOn w:val="TableNormal"/>
    <w:uiPriority w:val="63"/>
    <w:rsid w:val="00F63D35"/>
    <w:pPr>
      <w:spacing w:after="0" w:line="240" w:lineRule="auto"/>
    </w:pPr>
    <w:tblPr>
      <w:tblStyleRowBandSize w:val="1"/>
      <w:tblStyleColBandSize w:val="1"/>
      <w:tblBorders>
        <w:top w:val="single" w:sz="8" w:space="0" w:color="2E6DBF" w:themeColor="accent1" w:themeTint="BF"/>
        <w:left w:val="single" w:sz="8" w:space="0" w:color="2E6DBF" w:themeColor="accent1" w:themeTint="BF"/>
        <w:bottom w:val="single" w:sz="8" w:space="0" w:color="2E6DBF" w:themeColor="accent1" w:themeTint="BF"/>
        <w:right w:val="single" w:sz="8" w:space="0" w:color="2E6DBF" w:themeColor="accent1" w:themeTint="BF"/>
        <w:insideH w:val="single" w:sz="8" w:space="0" w:color="2E6DBF" w:themeColor="accent1" w:themeTint="BF"/>
      </w:tblBorders>
    </w:tblPr>
    <w:tblStylePr w:type="firstRow">
      <w:pPr>
        <w:spacing w:before="0" w:after="0" w:line="240" w:lineRule="auto"/>
      </w:pPr>
      <w:rPr>
        <w:b/>
        <w:bCs/>
        <w:color w:val="FFFFFF" w:themeColor="background1"/>
      </w:rPr>
      <w:tblPr/>
      <w:tcPr>
        <w:tcBorders>
          <w:top w:val="single" w:sz="8" w:space="0" w:color="2E6DBF" w:themeColor="accent1" w:themeTint="BF"/>
          <w:left w:val="single" w:sz="8" w:space="0" w:color="2E6DBF" w:themeColor="accent1" w:themeTint="BF"/>
          <w:bottom w:val="single" w:sz="8" w:space="0" w:color="2E6DBF" w:themeColor="accent1" w:themeTint="BF"/>
          <w:right w:val="single" w:sz="8" w:space="0" w:color="2E6DBF" w:themeColor="accent1" w:themeTint="BF"/>
          <w:insideH w:val="nil"/>
          <w:insideV w:val="nil"/>
        </w:tcBorders>
        <w:shd w:val="clear" w:color="auto" w:fill="1D4477" w:themeFill="accent1"/>
      </w:tcPr>
    </w:tblStylePr>
    <w:tblStylePr w:type="lastRow">
      <w:pPr>
        <w:spacing w:before="0" w:after="0" w:line="240" w:lineRule="auto"/>
      </w:pPr>
      <w:rPr>
        <w:b/>
        <w:bCs/>
      </w:rPr>
      <w:tblPr/>
      <w:tcPr>
        <w:tcBorders>
          <w:top w:val="double" w:sz="6" w:space="0" w:color="2E6DBF" w:themeColor="accent1" w:themeTint="BF"/>
          <w:left w:val="single" w:sz="8" w:space="0" w:color="2E6DBF" w:themeColor="accent1" w:themeTint="BF"/>
          <w:bottom w:val="single" w:sz="8" w:space="0" w:color="2E6DBF" w:themeColor="accent1" w:themeTint="BF"/>
          <w:right w:val="single" w:sz="8" w:space="0" w:color="2E6DB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6CEED" w:themeFill="accent1" w:themeFillTint="3F"/>
      </w:tcPr>
    </w:tblStylePr>
    <w:tblStylePr w:type="band1Horz">
      <w:tblPr/>
      <w:tcPr>
        <w:tcBorders>
          <w:insideH w:val="nil"/>
          <w:insideV w:val="nil"/>
        </w:tcBorders>
        <w:shd w:val="clear" w:color="auto" w:fill="B6CEED" w:themeFill="accent1" w:themeFillTint="3F"/>
      </w:tcPr>
    </w:tblStylePr>
    <w:tblStylePr w:type="band2Horz">
      <w:tblPr/>
      <w:tcPr>
        <w:tcBorders>
          <w:insideH w:val="nil"/>
          <w:insideV w:val="nil"/>
        </w:tcBorders>
      </w:tcPr>
    </w:tblStylePr>
  </w:style>
  <w:style w:type="character" w:styleId="FollowedHyperlink">
    <w:name w:val="FollowedHyperlink"/>
    <w:basedOn w:val="DefaultParagraphFont"/>
    <w:uiPriority w:val="99"/>
    <w:semiHidden/>
    <w:unhideWhenUsed/>
    <w:rsid w:val="00100533"/>
    <w:rPr>
      <w:color w:val="3ED8BD" w:themeColor="followedHyperlink"/>
      <w:u w:val="single"/>
    </w:rPr>
  </w:style>
  <w:style w:type="table" w:styleId="TableGridLight">
    <w:name w:val="Grid Table Light"/>
    <w:basedOn w:val="TableNormal"/>
    <w:uiPriority w:val="40"/>
    <w:rsid w:val="00812FB7"/>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Professional">
    <w:name w:val="Table Professional"/>
    <w:basedOn w:val="TableNormal"/>
    <w:uiPriority w:val="99"/>
    <w:semiHidden/>
    <w:unhideWhenUsed/>
    <w:rsid w:val="00103CD0"/>
    <w:pPr>
      <w:spacing w:after="0" w:line="240"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SOWFLStyle2">
    <w:name w:val="SOWFL Style 2"/>
    <w:basedOn w:val="TableNormal"/>
    <w:uiPriority w:val="99"/>
    <w:rsid w:val="0080389A"/>
    <w:pPr>
      <w:spacing w:before="120" w:after="120" w:line="240" w:lineRule="auto"/>
      <w:ind w:left="113" w:right="113"/>
    </w:pPr>
    <w:rPr>
      <w:rFonts w:ascii="Arial" w:hAnsi="Arial"/>
      <w:sz w:val="18"/>
    </w:rPr>
    <w:tblPr>
      <w:tblBorders>
        <w:top w:val="single" w:sz="2" w:space="0" w:color="1D4477" w:themeColor="accent1"/>
        <w:left w:val="single" w:sz="2" w:space="0" w:color="1D4477" w:themeColor="accent1"/>
        <w:bottom w:val="single" w:sz="2" w:space="0" w:color="1D4477" w:themeColor="accent1"/>
        <w:right w:val="single" w:sz="2" w:space="0" w:color="1D4477" w:themeColor="accent1"/>
        <w:insideH w:val="single" w:sz="2" w:space="0" w:color="1D4477" w:themeColor="accent1"/>
        <w:insideV w:val="single" w:sz="2" w:space="0" w:color="1D4477" w:themeColor="accent1"/>
      </w:tblBorders>
      <w:tblCellMar>
        <w:bottom w:w="113" w:type="dxa"/>
      </w:tblCellMar>
    </w:tblPr>
    <w:tcPr>
      <w:shd w:val="clear" w:color="auto" w:fill="C4D7F0" w:themeFill="accent1" w:themeFillTint="33"/>
    </w:tcPr>
    <w:tblStylePr w:type="firstRow">
      <w:pPr>
        <w:wordWrap/>
        <w:spacing w:beforeLines="0" w:before="120" w:beforeAutospacing="0" w:afterLines="0" w:after="120" w:afterAutospacing="0"/>
        <w:ind w:leftChars="0" w:left="113" w:rightChars="0" w:right="113"/>
        <w:jc w:val="center"/>
      </w:pPr>
      <w:rPr>
        <w:rFonts w:ascii="Arial" w:hAnsi="Arial"/>
        <w:b/>
        <w:caps/>
        <w:smallCaps w:val="0"/>
        <w:color w:val="FFFFFF" w:themeColor="background2"/>
        <w:sz w:val="18"/>
      </w:rPr>
      <w:tblPr>
        <w:tblCellMar>
          <w:top w:w="85" w:type="dxa"/>
          <w:left w:w="108" w:type="dxa"/>
          <w:bottom w:w="85" w:type="dxa"/>
          <w:right w:w="108" w:type="dxa"/>
        </w:tblCellMar>
      </w:tblPr>
      <w:tcPr>
        <w:tcBorders>
          <w:top w:val="single" w:sz="2" w:space="0" w:color="auto"/>
          <w:left w:val="single" w:sz="2" w:space="0" w:color="auto"/>
          <w:bottom w:val="single" w:sz="2" w:space="0" w:color="auto"/>
          <w:right w:val="single" w:sz="2" w:space="0" w:color="auto"/>
          <w:insideH w:val="nil"/>
          <w:insideV w:val="single" w:sz="2" w:space="0" w:color="auto"/>
          <w:tl2br w:val="nil"/>
          <w:tr2bl w:val="nil"/>
        </w:tcBorders>
        <w:shd w:val="clear" w:color="auto" w:fill="1D4477" w:themeFill="accent1"/>
      </w:tcPr>
    </w:tblStylePr>
  </w:style>
  <w:style w:type="paragraph" w:styleId="NormalWeb">
    <w:name w:val="Normal (Web)"/>
    <w:basedOn w:val="Normal"/>
    <w:uiPriority w:val="99"/>
    <w:semiHidden/>
    <w:unhideWhenUsed/>
    <w:rsid w:val="00356B21"/>
    <w:pPr>
      <w:spacing w:before="100" w:beforeAutospacing="1" w:after="100" w:afterAutospacing="1"/>
    </w:pPr>
    <w:rPr>
      <w:rFonts w:ascii="Times New Roman" w:hAnsi="Times New Roman"/>
      <w:sz w:val="24"/>
      <w:szCs w:val="24"/>
      <w:lang w:val="de-DE" w:eastAsia="de-DE"/>
    </w:rPr>
  </w:style>
  <w:style w:type="paragraph" w:styleId="Revision">
    <w:name w:val="Revision"/>
    <w:hidden/>
    <w:uiPriority w:val="99"/>
    <w:semiHidden/>
    <w:rsid w:val="0073012A"/>
    <w:pPr>
      <w:spacing w:after="0" w:line="240" w:lineRule="auto"/>
    </w:pPr>
    <w:rPr>
      <w:rFonts w:eastAsia="Times New Roman" w:cs="Times New Roman"/>
      <w:szCs w:val="20"/>
    </w:rPr>
  </w:style>
  <w:style w:type="character" w:customStyle="1" w:styleId="ListParagraphChar">
    <w:name w:val="List Paragraph Char"/>
    <w:basedOn w:val="DefaultParagraphFont"/>
    <w:link w:val="ListParagraph"/>
    <w:uiPriority w:val="34"/>
    <w:rsid w:val="0073012A"/>
  </w:style>
  <w:style w:type="paragraph" w:customStyle="1" w:styleId="Default">
    <w:name w:val="Default"/>
    <w:rsid w:val="00036313"/>
    <w:pPr>
      <w:autoSpaceDE w:val="0"/>
      <w:autoSpaceDN w:val="0"/>
      <w:adjustRightInd w:val="0"/>
      <w:spacing w:after="0" w:line="240" w:lineRule="auto"/>
    </w:pPr>
    <w:rPr>
      <w:rFonts w:ascii="Calibri" w:hAnsi="Calibri" w:cs="Calibri"/>
      <w:color w:val="000000"/>
      <w:sz w:val="24"/>
      <w:szCs w:val="24"/>
    </w:rPr>
  </w:style>
  <w:style w:type="paragraph" w:styleId="TOC4">
    <w:name w:val="toc 4"/>
    <w:basedOn w:val="Normal"/>
    <w:next w:val="Normal"/>
    <w:autoRedefine/>
    <w:uiPriority w:val="39"/>
    <w:unhideWhenUsed/>
    <w:rsid w:val="00AE3304"/>
    <w:pPr>
      <w:spacing w:after="100" w:line="276" w:lineRule="auto"/>
      <w:ind w:left="660"/>
    </w:pPr>
    <w:rPr>
      <w:rFonts w:eastAsiaTheme="minorEastAsia" w:cstheme="minorBidi"/>
      <w:szCs w:val="22"/>
      <w:lang w:eastAsia="en-GB"/>
    </w:rPr>
  </w:style>
  <w:style w:type="paragraph" w:styleId="TOC5">
    <w:name w:val="toc 5"/>
    <w:basedOn w:val="Normal"/>
    <w:next w:val="Normal"/>
    <w:autoRedefine/>
    <w:uiPriority w:val="39"/>
    <w:unhideWhenUsed/>
    <w:rsid w:val="00AE3304"/>
    <w:pPr>
      <w:spacing w:after="100" w:line="276" w:lineRule="auto"/>
      <w:ind w:left="880"/>
    </w:pPr>
    <w:rPr>
      <w:rFonts w:eastAsiaTheme="minorEastAsia" w:cstheme="minorBidi"/>
      <w:szCs w:val="22"/>
      <w:lang w:eastAsia="en-GB"/>
    </w:rPr>
  </w:style>
  <w:style w:type="paragraph" w:styleId="TOC6">
    <w:name w:val="toc 6"/>
    <w:basedOn w:val="Normal"/>
    <w:next w:val="Normal"/>
    <w:autoRedefine/>
    <w:uiPriority w:val="39"/>
    <w:unhideWhenUsed/>
    <w:rsid w:val="00AE3304"/>
    <w:pPr>
      <w:spacing w:after="100" w:line="276" w:lineRule="auto"/>
      <w:ind w:left="1100"/>
    </w:pPr>
    <w:rPr>
      <w:rFonts w:eastAsiaTheme="minorEastAsia" w:cstheme="minorBidi"/>
      <w:szCs w:val="22"/>
      <w:lang w:eastAsia="en-GB"/>
    </w:rPr>
  </w:style>
  <w:style w:type="paragraph" w:styleId="TOC7">
    <w:name w:val="toc 7"/>
    <w:basedOn w:val="Normal"/>
    <w:next w:val="Normal"/>
    <w:autoRedefine/>
    <w:uiPriority w:val="39"/>
    <w:unhideWhenUsed/>
    <w:rsid w:val="00AE3304"/>
    <w:pPr>
      <w:spacing w:after="100" w:line="276" w:lineRule="auto"/>
      <w:ind w:left="1320"/>
    </w:pPr>
    <w:rPr>
      <w:rFonts w:eastAsiaTheme="minorEastAsia" w:cstheme="minorBidi"/>
      <w:szCs w:val="22"/>
      <w:lang w:eastAsia="en-GB"/>
    </w:rPr>
  </w:style>
  <w:style w:type="paragraph" w:styleId="TOC8">
    <w:name w:val="toc 8"/>
    <w:basedOn w:val="Normal"/>
    <w:next w:val="Normal"/>
    <w:autoRedefine/>
    <w:uiPriority w:val="39"/>
    <w:unhideWhenUsed/>
    <w:rsid w:val="00AE3304"/>
    <w:pPr>
      <w:spacing w:after="100" w:line="276" w:lineRule="auto"/>
      <w:ind w:left="1540"/>
    </w:pPr>
    <w:rPr>
      <w:rFonts w:eastAsiaTheme="minorEastAsia" w:cstheme="minorBidi"/>
      <w:szCs w:val="22"/>
      <w:lang w:eastAsia="en-GB"/>
    </w:rPr>
  </w:style>
  <w:style w:type="paragraph" w:styleId="TOC9">
    <w:name w:val="toc 9"/>
    <w:basedOn w:val="Normal"/>
    <w:next w:val="Normal"/>
    <w:autoRedefine/>
    <w:uiPriority w:val="39"/>
    <w:unhideWhenUsed/>
    <w:rsid w:val="00AE3304"/>
    <w:pPr>
      <w:spacing w:after="100" w:line="276" w:lineRule="auto"/>
      <w:ind w:left="1760"/>
    </w:pPr>
    <w:rPr>
      <w:rFonts w:eastAsiaTheme="minorEastAsia" w:cstheme="minorBidi"/>
      <w:szCs w:val="22"/>
      <w:lang w:eastAsia="en-GB"/>
    </w:rPr>
  </w:style>
  <w:style w:type="paragraph" w:customStyle="1" w:styleId="Bullet">
    <w:name w:val="Bullet"/>
    <w:basedOn w:val="ListNumber"/>
    <w:link w:val="BulletChar"/>
    <w:qFormat/>
    <w:rsid w:val="00FD3008"/>
    <w:pPr>
      <w:numPr>
        <w:numId w:val="4"/>
      </w:numPr>
      <w:spacing w:after="240" w:line="240" w:lineRule="exact"/>
      <w:contextualSpacing w:val="0"/>
    </w:pPr>
  </w:style>
  <w:style w:type="paragraph" w:customStyle="1" w:styleId="Reportbodytextnumbering">
    <w:name w:val="Report body text (numbering)"/>
    <w:basedOn w:val="ListParagraph"/>
    <w:link w:val="ReportbodytextnumberingChar"/>
    <w:qFormat/>
    <w:rsid w:val="007908D8"/>
    <w:pPr>
      <w:numPr>
        <w:ilvl w:val="2"/>
        <w:numId w:val="3"/>
      </w:numPr>
      <w:tabs>
        <w:tab w:val="left" w:pos="851"/>
      </w:tabs>
      <w:spacing w:before="0" w:after="240" w:line="240" w:lineRule="exact"/>
      <w:ind w:left="709" w:hanging="709"/>
      <w:contextualSpacing w:val="0"/>
      <w:jc w:val="both"/>
    </w:pPr>
    <w:rPr>
      <w:rFonts w:eastAsia="Calibri Light"/>
      <w:lang w:val="en-US" w:eastAsia="en-GB"/>
    </w:rPr>
  </w:style>
  <w:style w:type="paragraph" w:customStyle="1" w:styleId="WATableCaption">
    <w:name w:val="WA_Table_Caption"/>
    <w:basedOn w:val="Normal"/>
    <w:qFormat/>
    <w:rsid w:val="008C3072"/>
    <w:pPr>
      <w:keepNext/>
      <w:tabs>
        <w:tab w:val="left" w:pos="1134"/>
        <w:tab w:val="num" w:pos="1985"/>
      </w:tabs>
      <w:spacing w:before="240"/>
      <w:ind w:left="1985" w:hanging="1134"/>
    </w:pPr>
    <w:rPr>
      <w:rFonts w:ascii="Calibri Light" w:eastAsia="Calibri Light" w:hAnsi="Calibri Light" w:cs="Calibri Light"/>
      <w:b/>
      <w:szCs w:val="22"/>
      <w:lang w:eastAsia="en-GB"/>
    </w:rPr>
  </w:style>
  <w:style w:type="paragraph" w:customStyle="1" w:styleId="Tabheading">
    <w:name w:val="Tab. heading"/>
    <w:basedOn w:val="WATableCaption"/>
    <w:rsid w:val="008C3072"/>
    <w:pPr>
      <w:tabs>
        <w:tab w:val="clear" w:pos="1985"/>
        <w:tab w:val="num" w:pos="1134"/>
      </w:tabs>
      <w:ind w:left="1134"/>
    </w:pPr>
  </w:style>
  <w:style w:type="paragraph" w:customStyle="1" w:styleId="Figureheading">
    <w:name w:val="Figure heading"/>
    <w:basedOn w:val="WATableCaption"/>
    <w:rsid w:val="008C3072"/>
    <w:pPr>
      <w:tabs>
        <w:tab w:val="clear" w:pos="1985"/>
        <w:tab w:val="num" w:pos="1134"/>
      </w:tabs>
      <w:ind w:left="1134"/>
    </w:pPr>
  </w:style>
  <w:style w:type="character" w:customStyle="1" w:styleId="ReportbodytextnumberingChar">
    <w:name w:val="Report body text (numbering) Char"/>
    <w:link w:val="Reportbodytextnumbering"/>
    <w:rsid w:val="007908D8"/>
    <w:rPr>
      <w:rFonts w:ascii="Arial" w:eastAsia="Calibri Light" w:hAnsi="Arial"/>
      <w:lang w:val="en-US" w:eastAsia="en-GB"/>
    </w:rPr>
  </w:style>
  <w:style w:type="paragraph" w:customStyle="1" w:styleId="WAHead1">
    <w:name w:val="WA_Head_1"/>
    <w:basedOn w:val="Heading1"/>
    <w:next w:val="WAHead2"/>
    <w:rsid w:val="004C77B9"/>
    <w:pPr>
      <w:keepNext/>
      <w:numPr>
        <w:numId w:val="1"/>
      </w:numPr>
      <w:tabs>
        <w:tab w:val="left" w:pos="1134"/>
      </w:tabs>
      <w:spacing w:before="240" w:after="240"/>
      <w:contextualSpacing w:val="0"/>
    </w:pPr>
    <w:rPr>
      <w:rFonts w:ascii="Calibri Light" w:eastAsia="Calibri Light" w:hAnsi="Calibri Light" w:cs="Calibri Light"/>
      <w:bCs/>
      <w:color w:val="auto"/>
      <w:kern w:val="32"/>
      <w:sz w:val="32"/>
      <w:szCs w:val="32"/>
      <w:lang w:eastAsia="en-GB"/>
    </w:rPr>
  </w:style>
  <w:style w:type="paragraph" w:customStyle="1" w:styleId="WAHead2">
    <w:name w:val="WA_Head_2"/>
    <w:basedOn w:val="Heading2"/>
    <w:next w:val="Reportbodytextnumbering"/>
    <w:rsid w:val="004C77B9"/>
    <w:pPr>
      <w:keepLines w:val="0"/>
      <w:numPr>
        <w:numId w:val="1"/>
      </w:numPr>
      <w:tabs>
        <w:tab w:val="left" w:pos="1134"/>
      </w:tabs>
    </w:pPr>
    <w:rPr>
      <w:rFonts w:ascii="Calibri Light" w:eastAsia="Times New Roman" w:hAnsi="Calibri Light" w:cs="Times New Roman"/>
      <w:color w:val="auto"/>
      <w:szCs w:val="28"/>
      <w:lang w:val="en-GB" w:eastAsia="nl-NL"/>
    </w:rPr>
  </w:style>
  <w:style w:type="paragraph" w:styleId="BodyText">
    <w:name w:val="Body Text"/>
    <w:basedOn w:val="Normal"/>
    <w:link w:val="BodyTextChar"/>
    <w:uiPriority w:val="1"/>
    <w:rsid w:val="008E0A48"/>
    <w:pPr>
      <w:widowControl w:val="0"/>
      <w:spacing w:before="159"/>
      <w:ind w:left="511"/>
    </w:pPr>
    <w:rPr>
      <w:rFonts w:ascii="Algerian" w:eastAsia="Algerian" w:hAnsi="Algerian" w:cstheme="minorBidi"/>
      <w:sz w:val="24"/>
      <w:szCs w:val="24"/>
      <w:lang w:val="en-US"/>
    </w:rPr>
  </w:style>
  <w:style w:type="character" w:customStyle="1" w:styleId="BodyTextChar">
    <w:name w:val="Body Text Char"/>
    <w:basedOn w:val="DefaultParagraphFont"/>
    <w:link w:val="BodyText"/>
    <w:uiPriority w:val="1"/>
    <w:rsid w:val="008E0A48"/>
    <w:rPr>
      <w:rFonts w:ascii="Algerian" w:eastAsia="Algerian" w:hAnsi="Algerian"/>
      <w:sz w:val="24"/>
      <w:szCs w:val="24"/>
      <w:lang w:val="en-US"/>
    </w:rPr>
  </w:style>
  <w:style w:type="paragraph" w:customStyle="1" w:styleId="TableParagraph">
    <w:name w:val="Table Paragraph"/>
    <w:basedOn w:val="Normal"/>
    <w:uiPriority w:val="1"/>
    <w:rsid w:val="008E0A48"/>
    <w:pPr>
      <w:widowControl w:val="0"/>
    </w:pPr>
    <w:rPr>
      <w:rFonts w:eastAsiaTheme="minorHAnsi" w:cstheme="minorBidi"/>
      <w:szCs w:val="22"/>
      <w:lang w:val="en-US"/>
    </w:rPr>
  </w:style>
  <w:style w:type="character" w:customStyle="1" w:styleId="ilfuvd">
    <w:name w:val="ilfuvd"/>
    <w:basedOn w:val="DefaultParagraphFont"/>
    <w:rsid w:val="001D127C"/>
  </w:style>
  <w:style w:type="paragraph" w:customStyle="1" w:styleId="SOWFL2Bullet">
    <w:name w:val="SOWFL 2 Bullet"/>
    <w:basedOn w:val="Bullet"/>
    <w:link w:val="SOWFL2BulletChar"/>
    <w:rsid w:val="00530ABD"/>
    <w:pPr>
      <w:numPr>
        <w:numId w:val="5"/>
      </w:numPr>
      <w:ind w:left="993" w:hanging="284"/>
    </w:pPr>
  </w:style>
  <w:style w:type="table" w:customStyle="1" w:styleId="SOWFLTable">
    <w:name w:val="SOWFL Table"/>
    <w:basedOn w:val="TableNormal"/>
    <w:uiPriority w:val="99"/>
    <w:rsid w:val="00812FB7"/>
    <w:pPr>
      <w:spacing w:before="120" w:after="120" w:line="240" w:lineRule="auto"/>
      <w:ind w:left="113" w:right="113"/>
    </w:pPr>
    <w:rPr>
      <w:rFonts w:ascii="Arial" w:hAnsi="Arial"/>
      <w:sz w:val="18"/>
    </w:rPr>
    <w:tblPr>
      <w:tblBorders>
        <w:top w:val="single" w:sz="2" w:space="0" w:color="FDC300" w:themeColor="accent3"/>
        <w:left w:val="single" w:sz="2" w:space="0" w:color="FDC300" w:themeColor="accent3"/>
        <w:bottom w:val="single" w:sz="2" w:space="0" w:color="FDC300" w:themeColor="accent3"/>
        <w:right w:val="single" w:sz="2" w:space="0" w:color="FDC300" w:themeColor="accent3"/>
        <w:insideH w:val="single" w:sz="2" w:space="0" w:color="FDC300" w:themeColor="accent3"/>
        <w:insideV w:val="single" w:sz="2" w:space="0" w:color="FDC300" w:themeColor="accent3"/>
      </w:tblBorders>
      <w:tblCellMar>
        <w:bottom w:w="113" w:type="dxa"/>
      </w:tblCellMar>
    </w:tblPr>
    <w:trPr>
      <w:cantSplit/>
    </w:trPr>
    <w:tcPr>
      <w:shd w:val="clear" w:color="auto" w:fill="FFF3CB" w:themeFill="accent3" w:themeFillTint="33"/>
    </w:tcPr>
    <w:tblStylePr w:type="firstRow">
      <w:pPr>
        <w:wordWrap/>
        <w:spacing w:beforeLines="0" w:before="120" w:beforeAutospacing="0" w:afterLines="0" w:after="240" w:afterAutospacing="0"/>
        <w:ind w:leftChars="0" w:left="113" w:rightChars="0" w:right="113"/>
        <w:jc w:val="center"/>
      </w:pPr>
      <w:rPr>
        <w:rFonts w:ascii="Arial" w:hAnsi="Arial"/>
        <w:b/>
        <w:caps/>
        <w:smallCaps w:val="0"/>
        <w:sz w:val="18"/>
      </w:rPr>
      <w:tblPr/>
      <w:tcPr>
        <w:tcBorders>
          <w:top w:val="single" w:sz="2" w:space="0" w:color="FDC300" w:themeColor="accent3"/>
          <w:left w:val="single" w:sz="2" w:space="0" w:color="FDC300" w:themeColor="accent3"/>
          <w:bottom w:val="single" w:sz="2" w:space="0" w:color="FDC300" w:themeColor="accent3"/>
          <w:right w:val="single" w:sz="2" w:space="0" w:color="FDC300" w:themeColor="accent3"/>
          <w:insideH w:val="nil"/>
          <w:insideV w:val="single" w:sz="2" w:space="0" w:color="FDC300" w:themeColor="accent3"/>
          <w:tl2br w:val="nil"/>
          <w:tr2bl w:val="nil"/>
        </w:tcBorders>
        <w:shd w:val="clear" w:color="auto" w:fill="FDC300" w:themeFill="accent3"/>
      </w:tcPr>
    </w:tblStylePr>
  </w:style>
  <w:style w:type="numbering" w:customStyle="1" w:styleId="SOWFLbullet">
    <w:name w:val="SOWFL bullet"/>
    <w:uiPriority w:val="99"/>
    <w:rsid w:val="005877A3"/>
    <w:pPr>
      <w:numPr>
        <w:numId w:val="6"/>
      </w:numPr>
    </w:pPr>
  </w:style>
  <w:style w:type="character" w:customStyle="1" w:styleId="BulletChar">
    <w:name w:val="Bullet Char"/>
    <w:basedOn w:val="ListParagraphChar"/>
    <w:link w:val="Bullet"/>
    <w:rsid w:val="00FD3008"/>
    <w:rPr>
      <w:rFonts w:ascii="Arial" w:eastAsia="Times New Roman" w:hAnsi="Arial" w:cs="Times New Roman"/>
      <w:szCs w:val="20"/>
    </w:rPr>
  </w:style>
  <w:style w:type="character" w:customStyle="1" w:styleId="SOWFL2BulletChar">
    <w:name w:val="SOWFL 2 Bullet Char"/>
    <w:basedOn w:val="BulletChar"/>
    <w:link w:val="SOWFL2Bullet"/>
    <w:rsid w:val="00530ABD"/>
    <w:rPr>
      <w:rFonts w:ascii="Arial" w:eastAsia="Times New Roman" w:hAnsi="Arial" w:cs="Times New Roman"/>
      <w:szCs w:val="20"/>
    </w:rPr>
  </w:style>
  <w:style w:type="numbering" w:customStyle="1" w:styleId="SOWFLbullet2">
    <w:name w:val="SOWFL bullet 2"/>
    <w:basedOn w:val="NoList"/>
    <w:uiPriority w:val="99"/>
    <w:rsid w:val="005877A3"/>
    <w:pPr>
      <w:numPr>
        <w:numId w:val="7"/>
      </w:numPr>
    </w:pPr>
  </w:style>
  <w:style w:type="paragraph" w:customStyle="1" w:styleId="Appendix">
    <w:name w:val="Appendix"/>
    <w:basedOn w:val="Heading1"/>
    <w:next w:val="appendixbodytextnumbering"/>
    <w:link w:val="AppendixChar"/>
    <w:qFormat/>
    <w:rsid w:val="00251863"/>
    <w:pPr>
      <w:numPr>
        <w:numId w:val="9"/>
      </w:numPr>
      <w:ind w:left="360"/>
    </w:pPr>
  </w:style>
  <w:style w:type="character" w:customStyle="1" w:styleId="AppendixChar">
    <w:name w:val="Appendix Char"/>
    <w:basedOn w:val="Heading1Char"/>
    <w:link w:val="Appendix"/>
    <w:rsid w:val="00251863"/>
    <w:rPr>
      <w:rFonts w:ascii="Arial" w:eastAsia="Calibri" w:hAnsi="Arial" w:cs="Times New Roman"/>
      <w:b/>
      <w:caps/>
      <w:color w:val="1D4477" w:themeColor="accent1"/>
      <w:sz w:val="36"/>
      <w:u w:color="3ED8BD" w:themeColor="accent2"/>
    </w:rPr>
  </w:style>
  <w:style w:type="paragraph" w:styleId="ListNumber">
    <w:name w:val="List Number"/>
    <w:basedOn w:val="Normal"/>
    <w:uiPriority w:val="99"/>
    <w:semiHidden/>
    <w:unhideWhenUsed/>
    <w:rsid w:val="00FD3008"/>
    <w:pPr>
      <w:numPr>
        <w:numId w:val="8"/>
      </w:numPr>
      <w:contextualSpacing/>
    </w:pPr>
  </w:style>
  <w:style w:type="paragraph" w:customStyle="1" w:styleId="appendixbodytextnumbering">
    <w:name w:val="appendix body text (numbering)"/>
    <w:basedOn w:val="Reportbodytextnumbering"/>
    <w:link w:val="appendixbodytextnumberingChar"/>
    <w:qFormat/>
    <w:rsid w:val="00AF4FC8"/>
    <w:pPr>
      <w:numPr>
        <w:ilvl w:val="1"/>
        <w:numId w:val="9"/>
      </w:numPr>
    </w:pPr>
  </w:style>
  <w:style w:type="paragraph" w:customStyle="1" w:styleId="AppendixHeading2">
    <w:name w:val="Appendix Heading 2"/>
    <w:basedOn w:val="appendixbodytextnumbering"/>
    <w:next w:val="appendixbodytextnumbering"/>
    <w:link w:val="AppendixHeading2Char"/>
    <w:qFormat/>
    <w:rsid w:val="00251863"/>
    <w:pPr>
      <w:numPr>
        <w:ilvl w:val="0"/>
        <w:numId w:val="0"/>
      </w:numPr>
      <w:ind w:left="851" w:hanging="851"/>
    </w:pPr>
    <w:rPr>
      <w:b/>
      <w:bCs/>
      <w:color w:val="3ED8BD" w:themeColor="accent2"/>
      <w:lang w:eastAsia="en-US"/>
    </w:rPr>
  </w:style>
  <w:style w:type="character" w:customStyle="1" w:styleId="appendixbodytextnumberingChar">
    <w:name w:val="appendix body text (numbering) Char"/>
    <w:basedOn w:val="DefaultParagraphFont"/>
    <w:link w:val="appendixbodytextnumbering"/>
    <w:rsid w:val="00AF4FC8"/>
    <w:rPr>
      <w:rFonts w:ascii="Arial" w:eastAsia="Calibri Light" w:hAnsi="Arial"/>
      <w:lang w:eastAsia="en-GB"/>
    </w:rPr>
  </w:style>
  <w:style w:type="character" w:customStyle="1" w:styleId="AppendixHeading2Char">
    <w:name w:val="Appendix Heading 2 Char"/>
    <w:basedOn w:val="appendixbodytextnumberingChar"/>
    <w:link w:val="AppendixHeading2"/>
    <w:rsid w:val="00251863"/>
    <w:rPr>
      <w:rFonts w:ascii="Arial" w:eastAsia="Calibri Light" w:hAnsi="Arial"/>
      <w:b/>
      <w:bCs/>
      <w:color w:val="3ED8BD" w:themeColor="accent2"/>
      <w:lang w:eastAsia="en-GB"/>
    </w:rPr>
  </w:style>
  <w:style w:type="paragraph" w:customStyle="1" w:styleId="Reportbodytextnonumbering">
    <w:name w:val="Report body text (no numbering)"/>
    <w:basedOn w:val="Normal"/>
    <w:link w:val="ReportbodytextnonumberingChar"/>
    <w:qFormat/>
    <w:rsid w:val="009C6BB3"/>
    <w:pPr>
      <w:ind w:left="851"/>
    </w:pPr>
  </w:style>
  <w:style w:type="character" w:customStyle="1" w:styleId="ReportbodytextnonumberingChar">
    <w:name w:val="Report body text (no numbering) Char"/>
    <w:basedOn w:val="DefaultParagraphFont"/>
    <w:link w:val="Reportbodytextnonumbering"/>
    <w:rsid w:val="009C6BB3"/>
    <w:rPr>
      <w:rFonts w:ascii="Arial" w:eastAsia="Times New Roman" w:hAnsi="Arial" w:cs="Times New Roman"/>
      <w:szCs w:val="20"/>
    </w:rPr>
  </w:style>
  <w:style w:type="character" w:customStyle="1" w:styleId="WANumParaChar">
    <w:name w:val="WA_Num_Para Char"/>
    <w:link w:val="WANumPara"/>
    <w:locked/>
    <w:rsid w:val="00EC2978"/>
    <w:rPr>
      <w:rFonts w:ascii="Calibri Light" w:eastAsia="Calibri Light" w:hAnsi="Calibri Light" w:cs="Times New Roman"/>
      <w:lang w:eastAsia="en-GB"/>
    </w:rPr>
  </w:style>
  <w:style w:type="paragraph" w:customStyle="1" w:styleId="WANumPara">
    <w:name w:val="WA_Num_Para"/>
    <w:basedOn w:val="Normal"/>
    <w:link w:val="WANumParaChar"/>
    <w:qFormat/>
    <w:rsid w:val="00EC2978"/>
    <w:pPr>
      <w:tabs>
        <w:tab w:val="num" w:pos="851"/>
        <w:tab w:val="left" w:pos="1134"/>
      </w:tabs>
      <w:spacing w:after="240"/>
      <w:ind w:left="851" w:hanging="851"/>
      <w:jc w:val="both"/>
    </w:pPr>
    <w:rPr>
      <w:rFonts w:ascii="Calibri Light" w:eastAsia="Calibri Light" w:hAnsi="Calibri Light"/>
      <w:szCs w:val="22"/>
      <w:lang w:eastAsia="en-GB"/>
    </w:rPr>
  </w:style>
  <w:style w:type="character" w:styleId="UnresolvedMention">
    <w:name w:val="Unresolved Mention"/>
    <w:basedOn w:val="DefaultParagraphFont"/>
    <w:uiPriority w:val="99"/>
    <w:semiHidden/>
    <w:unhideWhenUsed/>
    <w:rsid w:val="00D40A2F"/>
    <w:rPr>
      <w:color w:val="605E5C"/>
      <w:shd w:val="clear" w:color="auto" w:fill="E1DFDD"/>
    </w:rPr>
  </w:style>
  <w:style w:type="paragraph" w:customStyle="1" w:styleId="WABullet">
    <w:name w:val="WA_Bullet"/>
    <w:basedOn w:val="Normal"/>
    <w:qFormat/>
    <w:rsid w:val="00841CB7"/>
    <w:pPr>
      <w:tabs>
        <w:tab w:val="num" w:pos="1418"/>
      </w:tabs>
      <w:ind w:left="1418" w:hanging="567"/>
    </w:pPr>
    <w:rPr>
      <w:szCs w:val="22"/>
      <w:lang w:eastAsia="en-GB"/>
    </w:rPr>
  </w:style>
  <w:style w:type="paragraph" w:customStyle="1" w:styleId="SOWFLbodytextnumbering">
    <w:name w:val="SOWFL body text (numbering)"/>
    <w:basedOn w:val="ListParagraph"/>
    <w:link w:val="SOWFLbodytextnumberingChar"/>
    <w:qFormat/>
    <w:rsid w:val="005F6C00"/>
    <w:pPr>
      <w:tabs>
        <w:tab w:val="left" w:pos="851"/>
      </w:tabs>
      <w:spacing w:before="0" w:after="240" w:line="240" w:lineRule="exact"/>
      <w:ind w:left="851"/>
      <w:contextualSpacing w:val="0"/>
      <w:jc w:val="both"/>
    </w:pPr>
    <w:rPr>
      <w:rFonts w:eastAsia="Calibri Light"/>
      <w:lang w:eastAsia="en-GB"/>
    </w:rPr>
  </w:style>
  <w:style w:type="character" w:customStyle="1" w:styleId="SOWFLbodytextnumberingChar">
    <w:name w:val="SOWFL body text (numbering) Char"/>
    <w:link w:val="SOWFLbodytextnumbering"/>
    <w:rsid w:val="005F6C00"/>
    <w:rPr>
      <w:rFonts w:ascii="Arial" w:eastAsia="Calibri Light" w:hAnsi="Arial"/>
      <w:lang w:eastAsia="en-GB"/>
    </w:rPr>
  </w:style>
  <w:style w:type="paragraph" w:customStyle="1" w:styleId="Appendixsubheading">
    <w:name w:val="Appendix sub heading"/>
    <w:basedOn w:val="BodyTextIndent"/>
    <w:link w:val="AppendixsubheadingChar"/>
    <w:qFormat/>
    <w:rsid w:val="00BD0ED0"/>
    <w:pPr>
      <w:ind w:left="0"/>
    </w:pPr>
    <w:rPr>
      <w:b/>
      <w:caps/>
      <w:color w:val="3ED8BD"/>
      <w:sz w:val="28"/>
    </w:rPr>
  </w:style>
  <w:style w:type="paragraph" w:customStyle="1" w:styleId="Appendixsubheading2">
    <w:name w:val="Appendix sub heading 2"/>
    <w:basedOn w:val="Normal"/>
    <w:link w:val="Appendixsubheading2Char"/>
    <w:qFormat/>
    <w:rsid w:val="00BD0ED0"/>
    <w:rPr>
      <w:b/>
      <w:caps/>
      <w:color w:val="3ED8BD"/>
    </w:rPr>
  </w:style>
  <w:style w:type="character" w:customStyle="1" w:styleId="AppendixsubheadingChar">
    <w:name w:val="Appendix sub heading Char"/>
    <w:basedOn w:val="Heading2Char"/>
    <w:link w:val="Appendixsubheading"/>
    <w:rsid w:val="00BD0ED0"/>
    <w:rPr>
      <w:rFonts w:ascii="Arial" w:eastAsia="Times New Roman" w:hAnsi="Arial" w:cs="Times New Roman"/>
      <w:b/>
      <w:bCs w:val="0"/>
      <w:caps/>
      <w:color w:val="3ED8BD"/>
      <w:sz w:val="28"/>
      <w:szCs w:val="20"/>
      <w:lang w:val="en-US"/>
    </w:rPr>
  </w:style>
  <w:style w:type="character" w:customStyle="1" w:styleId="Appendixsubheading2Char">
    <w:name w:val="Appendix sub heading 2 Char"/>
    <w:basedOn w:val="Heading3Char"/>
    <w:link w:val="Appendixsubheading2"/>
    <w:rsid w:val="00BD0ED0"/>
    <w:rPr>
      <w:rFonts w:ascii="Arial" w:eastAsia="Times New Roman" w:hAnsi="Arial" w:cs="Times New Roman"/>
      <w:b/>
      <w:caps/>
      <w:color w:val="3ED8BD"/>
      <w:szCs w:val="20"/>
    </w:rPr>
  </w:style>
  <w:style w:type="paragraph" w:styleId="BodyTextIndent">
    <w:name w:val="Body Text Indent"/>
    <w:basedOn w:val="Normal"/>
    <w:link w:val="BodyTextIndentChar"/>
    <w:uiPriority w:val="99"/>
    <w:semiHidden/>
    <w:unhideWhenUsed/>
    <w:rsid w:val="00BD0ED0"/>
    <w:pPr>
      <w:ind w:left="283"/>
    </w:pPr>
  </w:style>
  <w:style w:type="character" w:customStyle="1" w:styleId="BodyTextIndentChar">
    <w:name w:val="Body Text Indent Char"/>
    <w:basedOn w:val="DefaultParagraphFont"/>
    <w:link w:val="BodyTextIndent"/>
    <w:uiPriority w:val="99"/>
    <w:semiHidden/>
    <w:rsid w:val="00BD0ED0"/>
    <w:rPr>
      <w:rFonts w:ascii="Arial" w:eastAsia="Times New Roman" w:hAnsi="Arial" w:cs="Times New Roman"/>
      <w:szCs w:val="20"/>
    </w:rPr>
  </w:style>
  <w:style w:type="table" w:styleId="GridTable4-Accent1">
    <w:name w:val="Grid Table 4 Accent 1"/>
    <w:basedOn w:val="TableNormal"/>
    <w:uiPriority w:val="49"/>
    <w:rsid w:val="0062681C"/>
    <w:pPr>
      <w:spacing w:after="0" w:line="240" w:lineRule="auto"/>
    </w:pPr>
    <w:tblPr>
      <w:tblStyleRowBandSize w:val="1"/>
      <w:tblStyleColBandSize w:val="1"/>
      <w:tblBorders>
        <w:top w:val="single" w:sz="4" w:space="0" w:color="5089D4" w:themeColor="accent1" w:themeTint="99"/>
        <w:left w:val="single" w:sz="4" w:space="0" w:color="5089D4" w:themeColor="accent1" w:themeTint="99"/>
        <w:bottom w:val="single" w:sz="4" w:space="0" w:color="5089D4" w:themeColor="accent1" w:themeTint="99"/>
        <w:right w:val="single" w:sz="4" w:space="0" w:color="5089D4" w:themeColor="accent1" w:themeTint="99"/>
        <w:insideH w:val="single" w:sz="4" w:space="0" w:color="5089D4" w:themeColor="accent1" w:themeTint="99"/>
        <w:insideV w:val="single" w:sz="4" w:space="0" w:color="5089D4" w:themeColor="accent1" w:themeTint="99"/>
      </w:tblBorders>
    </w:tblPr>
    <w:tblStylePr w:type="firstRow">
      <w:rPr>
        <w:b/>
        <w:bCs/>
        <w:color w:val="FFFFFF" w:themeColor="background1"/>
      </w:rPr>
      <w:tblPr/>
      <w:tcPr>
        <w:tcBorders>
          <w:top w:val="single" w:sz="4" w:space="0" w:color="1D4477" w:themeColor="accent1"/>
          <w:left w:val="single" w:sz="4" w:space="0" w:color="1D4477" w:themeColor="accent1"/>
          <w:bottom w:val="single" w:sz="4" w:space="0" w:color="1D4477" w:themeColor="accent1"/>
          <w:right w:val="single" w:sz="4" w:space="0" w:color="1D4477" w:themeColor="accent1"/>
          <w:insideH w:val="nil"/>
          <w:insideV w:val="nil"/>
        </w:tcBorders>
        <w:shd w:val="clear" w:color="auto" w:fill="1D4477" w:themeFill="accent1"/>
      </w:tcPr>
    </w:tblStylePr>
    <w:tblStylePr w:type="lastRow">
      <w:rPr>
        <w:b/>
        <w:bCs/>
      </w:rPr>
      <w:tblPr/>
      <w:tcPr>
        <w:tcBorders>
          <w:top w:val="double" w:sz="4" w:space="0" w:color="1D4477" w:themeColor="accent1"/>
        </w:tcBorders>
      </w:tcPr>
    </w:tblStylePr>
    <w:tblStylePr w:type="firstCol">
      <w:rPr>
        <w:b/>
        <w:bCs/>
      </w:rPr>
    </w:tblStylePr>
    <w:tblStylePr w:type="lastCol">
      <w:rPr>
        <w:b/>
        <w:bCs/>
      </w:rPr>
    </w:tblStylePr>
    <w:tblStylePr w:type="band1Vert">
      <w:tblPr/>
      <w:tcPr>
        <w:shd w:val="clear" w:color="auto" w:fill="C4D7F0" w:themeFill="accent1" w:themeFillTint="33"/>
      </w:tcPr>
    </w:tblStylePr>
    <w:tblStylePr w:type="band1Horz">
      <w:tblPr/>
      <w:tcPr>
        <w:shd w:val="clear" w:color="auto" w:fill="C4D7F0"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571449">
      <w:bodyDiv w:val="1"/>
      <w:marLeft w:val="0"/>
      <w:marRight w:val="0"/>
      <w:marTop w:val="0"/>
      <w:marBottom w:val="0"/>
      <w:divBdr>
        <w:top w:val="none" w:sz="0" w:space="0" w:color="auto"/>
        <w:left w:val="none" w:sz="0" w:space="0" w:color="auto"/>
        <w:bottom w:val="none" w:sz="0" w:space="0" w:color="auto"/>
        <w:right w:val="none" w:sz="0" w:space="0" w:color="auto"/>
      </w:divBdr>
    </w:div>
    <w:div w:id="100538255">
      <w:bodyDiv w:val="1"/>
      <w:marLeft w:val="0"/>
      <w:marRight w:val="0"/>
      <w:marTop w:val="0"/>
      <w:marBottom w:val="0"/>
      <w:divBdr>
        <w:top w:val="none" w:sz="0" w:space="0" w:color="auto"/>
        <w:left w:val="none" w:sz="0" w:space="0" w:color="auto"/>
        <w:bottom w:val="none" w:sz="0" w:space="0" w:color="auto"/>
        <w:right w:val="none" w:sz="0" w:space="0" w:color="auto"/>
      </w:divBdr>
    </w:div>
    <w:div w:id="109056807">
      <w:bodyDiv w:val="1"/>
      <w:marLeft w:val="0"/>
      <w:marRight w:val="0"/>
      <w:marTop w:val="0"/>
      <w:marBottom w:val="0"/>
      <w:divBdr>
        <w:top w:val="none" w:sz="0" w:space="0" w:color="auto"/>
        <w:left w:val="none" w:sz="0" w:space="0" w:color="auto"/>
        <w:bottom w:val="none" w:sz="0" w:space="0" w:color="auto"/>
        <w:right w:val="none" w:sz="0" w:space="0" w:color="auto"/>
      </w:divBdr>
    </w:div>
    <w:div w:id="155730920">
      <w:bodyDiv w:val="1"/>
      <w:marLeft w:val="0"/>
      <w:marRight w:val="0"/>
      <w:marTop w:val="0"/>
      <w:marBottom w:val="0"/>
      <w:divBdr>
        <w:top w:val="none" w:sz="0" w:space="0" w:color="auto"/>
        <w:left w:val="none" w:sz="0" w:space="0" w:color="auto"/>
        <w:bottom w:val="none" w:sz="0" w:space="0" w:color="auto"/>
        <w:right w:val="none" w:sz="0" w:space="0" w:color="auto"/>
      </w:divBdr>
    </w:div>
    <w:div w:id="176770082">
      <w:bodyDiv w:val="1"/>
      <w:marLeft w:val="0"/>
      <w:marRight w:val="0"/>
      <w:marTop w:val="0"/>
      <w:marBottom w:val="0"/>
      <w:divBdr>
        <w:top w:val="none" w:sz="0" w:space="0" w:color="auto"/>
        <w:left w:val="none" w:sz="0" w:space="0" w:color="auto"/>
        <w:bottom w:val="none" w:sz="0" w:space="0" w:color="auto"/>
        <w:right w:val="none" w:sz="0" w:space="0" w:color="auto"/>
      </w:divBdr>
    </w:div>
    <w:div w:id="254167298">
      <w:bodyDiv w:val="1"/>
      <w:marLeft w:val="0"/>
      <w:marRight w:val="0"/>
      <w:marTop w:val="0"/>
      <w:marBottom w:val="0"/>
      <w:divBdr>
        <w:top w:val="none" w:sz="0" w:space="0" w:color="auto"/>
        <w:left w:val="none" w:sz="0" w:space="0" w:color="auto"/>
        <w:bottom w:val="none" w:sz="0" w:space="0" w:color="auto"/>
        <w:right w:val="none" w:sz="0" w:space="0" w:color="auto"/>
      </w:divBdr>
    </w:div>
    <w:div w:id="255483327">
      <w:bodyDiv w:val="1"/>
      <w:marLeft w:val="0"/>
      <w:marRight w:val="0"/>
      <w:marTop w:val="0"/>
      <w:marBottom w:val="0"/>
      <w:divBdr>
        <w:top w:val="none" w:sz="0" w:space="0" w:color="auto"/>
        <w:left w:val="none" w:sz="0" w:space="0" w:color="auto"/>
        <w:bottom w:val="none" w:sz="0" w:space="0" w:color="auto"/>
        <w:right w:val="none" w:sz="0" w:space="0" w:color="auto"/>
      </w:divBdr>
    </w:div>
    <w:div w:id="257714135">
      <w:bodyDiv w:val="1"/>
      <w:marLeft w:val="0"/>
      <w:marRight w:val="0"/>
      <w:marTop w:val="0"/>
      <w:marBottom w:val="0"/>
      <w:divBdr>
        <w:top w:val="none" w:sz="0" w:space="0" w:color="auto"/>
        <w:left w:val="none" w:sz="0" w:space="0" w:color="auto"/>
        <w:bottom w:val="none" w:sz="0" w:space="0" w:color="auto"/>
        <w:right w:val="none" w:sz="0" w:space="0" w:color="auto"/>
      </w:divBdr>
    </w:div>
    <w:div w:id="377047340">
      <w:bodyDiv w:val="1"/>
      <w:marLeft w:val="0"/>
      <w:marRight w:val="0"/>
      <w:marTop w:val="0"/>
      <w:marBottom w:val="0"/>
      <w:divBdr>
        <w:top w:val="none" w:sz="0" w:space="0" w:color="auto"/>
        <w:left w:val="none" w:sz="0" w:space="0" w:color="auto"/>
        <w:bottom w:val="none" w:sz="0" w:space="0" w:color="auto"/>
        <w:right w:val="none" w:sz="0" w:space="0" w:color="auto"/>
      </w:divBdr>
    </w:div>
    <w:div w:id="410351565">
      <w:bodyDiv w:val="1"/>
      <w:marLeft w:val="0"/>
      <w:marRight w:val="0"/>
      <w:marTop w:val="0"/>
      <w:marBottom w:val="0"/>
      <w:divBdr>
        <w:top w:val="none" w:sz="0" w:space="0" w:color="auto"/>
        <w:left w:val="none" w:sz="0" w:space="0" w:color="auto"/>
        <w:bottom w:val="none" w:sz="0" w:space="0" w:color="auto"/>
        <w:right w:val="none" w:sz="0" w:space="0" w:color="auto"/>
      </w:divBdr>
    </w:div>
    <w:div w:id="421879590">
      <w:bodyDiv w:val="1"/>
      <w:marLeft w:val="0"/>
      <w:marRight w:val="0"/>
      <w:marTop w:val="0"/>
      <w:marBottom w:val="0"/>
      <w:divBdr>
        <w:top w:val="none" w:sz="0" w:space="0" w:color="auto"/>
        <w:left w:val="none" w:sz="0" w:space="0" w:color="auto"/>
        <w:bottom w:val="none" w:sz="0" w:space="0" w:color="auto"/>
        <w:right w:val="none" w:sz="0" w:space="0" w:color="auto"/>
      </w:divBdr>
    </w:div>
    <w:div w:id="455492117">
      <w:bodyDiv w:val="1"/>
      <w:marLeft w:val="0"/>
      <w:marRight w:val="0"/>
      <w:marTop w:val="0"/>
      <w:marBottom w:val="0"/>
      <w:divBdr>
        <w:top w:val="none" w:sz="0" w:space="0" w:color="auto"/>
        <w:left w:val="none" w:sz="0" w:space="0" w:color="auto"/>
        <w:bottom w:val="none" w:sz="0" w:space="0" w:color="auto"/>
        <w:right w:val="none" w:sz="0" w:space="0" w:color="auto"/>
      </w:divBdr>
    </w:div>
    <w:div w:id="467672773">
      <w:bodyDiv w:val="1"/>
      <w:marLeft w:val="0"/>
      <w:marRight w:val="0"/>
      <w:marTop w:val="0"/>
      <w:marBottom w:val="0"/>
      <w:divBdr>
        <w:top w:val="none" w:sz="0" w:space="0" w:color="auto"/>
        <w:left w:val="none" w:sz="0" w:space="0" w:color="auto"/>
        <w:bottom w:val="none" w:sz="0" w:space="0" w:color="auto"/>
        <w:right w:val="none" w:sz="0" w:space="0" w:color="auto"/>
      </w:divBdr>
    </w:div>
    <w:div w:id="477377094">
      <w:bodyDiv w:val="1"/>
      <w:marLeft w:val="0"/>
      <w:marRight w:val="0"/>
      <w:marTop w:val="0"/>
      <w:marBottom w:val="0"/>
      <w:divBdr>
        <w:top w:val="none" w:sz="0" w:space="0" w:color="auto"/>
        <w:left w:val="none" w:sz="0" w:space="0" w:color="auto"/>
        <w:bottom w:val="none" w:sz="0" w:space="0" w:color="auto"/>
        <w:right w:val="none" w:sz="0" w:space="0" w:color="auto"/>
      </w:divBdr>
    </w:div>
    <w:div w:id="525947786">
      <w:bodyDiv w:val="1"/>
      <w:marLeft w:val="0"/>
      <w:marRight w:val="0"/>
      <w:marTop w:val="0"/>
      <w:marBottom w:val="0"/>
      <w:divBdr>
        <w:top w:val="none" w:sz="0" w:space="0" w:color="auto"/>
        <w:left w:val="none" w:sz="0" w:space="0" w:color="auto"/>
        <w:bottom w:val="none" w:sz="0" w:space="0" w:color="auto"/>
        <w:right w:val="none" w:sz="0" w:space="0" w:color="auto"/>
      </w:divBdr>
    </w:div>
    <w:div w:id="537401661">
      <w:bodyDiv w:val="1"/>
      <w:marLeft w:val="0"/>
      <w:marRight w:val="0"/>
      <w:marTop w:val="0"/>
      <w:marBottom w:val="0"/>
      <w:divBdr>
        <w:top w:val="none" w:sz="0" w:space="0" w:color="auto"/>
        <w:left w:val="none" w:sz="0" w:space="0" w:color="auto"/>
        <w:bottom w:val="none" w:sz="0" w:space="0" w:color="auto"/>
        <w:right w:val="none" w:sz="0" w:space="0" w:color="auto"/>
      </w:divBdr>
    </w:div>
    <w:div w:id="557713168">
      <w:bodyDiv w:val="1"/>
      <w:marLeft w:val="0"/>
      <w:marRight w:val="0"/>
      <w:marTop w:val="0"/>
      <w:marBottom w:val="0"/>
      <w:divBdr>
        <w:top w:val="none" w:sz="0" w:space="0" w:color="auto"/>
        <w:left w:val="none" w:sz="0" w:space="0" w:color="auto"/>
        <w:bottom w:val="none" w:sz="0" w:space="0" w:color="auto"/>
        <w:right w:val="none" w:sz="0" w:space="0" w:color="auto"/>
      </w:divBdr>
    </w:div>
    <w:div w:id="600912388">
      <w:bodyDiv w:val="1"/>
      <w:marLeft w:val="0"/>
      <w:marRight w:val="0"/>
      <w:marTop w:val="0"/>
      <w:marBottom w:val="0"/>
      <w:divBdr>
        <w:top w:val="none" w:sz="0" w:space="0" w:color="auto"/>
        <w:left w:val="none" w:sz="0" w:space="0" w:color="auto"/>
        <w:bottom w:val="none" w:sz="0" w:space="0" w:color="auto"/>
        <w:right w:val="none" w:sz="0" w:space="0" w:color="auto"/>
      </w:divBdr>
    </w:div>
    <w:div w:id="644090536">
      <w:bodyDiv w:val="1"/>
      <w:marLeft w:val="0"/>
      <w:marRight w:val="0"/>
      <w:marTop w:val="0"/>
      <w:marBottom w:val="0"/>
      <w:divBdr>
        <w:top w:val="none" w:sz="0" w:space="0" w:color="auto"/>
        <w:left w:val="none" w:sz="0" w:space="0" w:color="auto"/>
        <w:bottom w:val="none" w:sz="0" w:space="0" w:color="auto"/>
        <w:right w:val="none" w:sz="0" w:space="0" w:color="auto"/>
      </w:divBdr>
    </w:div>
    <w:div w:id="647173600">
      <w:bodyDiv w:val="1"/>
      <w:marLeft w:val="0"/>
      <w:marRight w:val="0"/>
      <w:marTop w:val="0"/>
      <w:marBottom w:val="0"/>
      <w:divBdr>
        <w:top w:val="none" w:sz="0" w:space="0" w:color="auto"/>
        <w:left w:val="none" w:sz="0" w:space="0" w:color="auto"/>
        <w:bottom w:val="none" w:sz="0" w:space="0" w:color="auto"/>
        <w:right w:val="none" w:sz="0" w:space="0" w:color="auto"/>
      </w:divBdr>
    </w:div>
    <w:div w:id="742215667">
      <w:bodyDiv w:val="1"/>
      <w:marLeft w:val="0"/>
      <w:marRight w:val="0"/>
      <w:marTop w:val="0"/>
      <w:marBottom w:val="0"/>
      <w:divBdr>
        <w:top w:val="none" w:sz="0" w:space="0" w:color="auto"/>
        <w:left w:val="none" w:sz="0" w:space="0" w:color="auto"/>
        <w:bottom w:val="none" w:sz="0" w:space="0" w:color="auto"/>
        <w:right w:val="none" w:sz="0" w:space="0" w:color="auto"/>
      </w:divBdr>
    </w:div>
    <w:div w:id="751391122">
      <w:bodyDiv w:val="1"/>
      <w:marLeft w:val="0"/>
      <w:marRight w:val="0"/>
      <w:marTop w:val="0"/>
      <w:marBottom w:val="0"/>
      <w:divBdr>
        <w:top w:val="none" w:sz="0" w:space="0" w:color="auto"/>
        <w:left w:val="none" w:sz="0" w:space="0" w:color="auto"/>
        <w:bottom w:val="none" w:sz="0" w:space="0" w:color="auto"/>
        <w:right w:val="none" w:sz="0" w:space="0" w:color="auto"/>
      </w:divBdr>
    </w:div>
    <w:div w:id="753627430">
      <w:bodyDiv w:val="1"/>
      <w:marLeft w:val="0"/>
      <w:marRight w:val="0"/>
      <w:marTop w:val="0"/>
      <w:marBottom w:val="0"/>
      <w:divBdr>
        <w:top w:val="none" w:sz="0" w:space="0" w:color="auto"/>
        <w:left w:val="none" w:sz="0" w:space="0" w:color="auto"/>
        <w:bottom w:val="none" w:sz="0" w:space="0" w:color="auto"/>
        <w:right w:val="none" w:sz="0" w:space="0" w:color="auto"/>
      </w:divBdr>
    </w:div>
    <w:div w:id="753821932">
      <w:bodyDiv w:val="1"/>
      <w:marLeft w:val="0"/>
      <w:marRight w:val="0"/>
      <w:marTop w:val="0"/>
      <w:marBottom w:val="0"/>
      <w:divBdr>
        <w:top w:val="none" w:sz="0" w:space="0" w:color="auto"/>
        <w:left w:val="none" w:sz="0" w:space="0" w:color="auto"/>
        <w:bottom w:val="none" w:sz="0" w:space="0" w:color="auto"/>
        <w:right w:val="none" w:sz="0" w:space="0" w:color="auto"/>
      </w:divBdr>
    </w:div>
    <w:div w:id="767700221">
      <w:bodyDiv w:val="1"/>
      <w:marLeft w:val="0"/>
      <w:marRight w:val="0"/>
      <w:marTop w:val="0"/>
      <w:marBottom w:val="0"/>
      <w:divBdr>
        <w:top w:val="none" w:sz="0" w:space="0" w:color="auto"/>
        <w:left w:val="none" w:sz="0" w:space="0" w:color="auto"/>
        <w:bottom w:val="none" w:sz="0" w:space="0" w:color="auto"/>
        <w:right w:val="none" w:sz="0" w:space="0" w:color="auto"/>
      </w:divBdr>
    </w:div>
    <w:div w:id="902106851">
      <w:bodyDiv w:val="1"/>
      <w:marLeft w:val="0"/>
      <w:marRight w:val="0"/>
      <w:marTop w:val="0"/>
      <w:marBottom w:val="0"/>
      <w:divBdr>
        <w:top w:val="none" w:sz="0" w:space="0" w:color="auto"/>
        <w:left w:val="none" w:sz="0" w:space="0" w:color="auto"/>
        <w:bottom w:val="none" w:sz="0" w:space="0" w:color="auto"/>
        <w:right w:val="none" w:sz="0" w:space="0" w:color="auto"/>
      </w:divBdr>
    </w:div>
    <w:div w:id="942877728">
      <w:bodyDiv w:val="1"/>
      <w:marLeft w:val="0"/>
      <w:marRight w:val="0"/>
      <w:marTop w:val="0"/>
      <w:marBottom w:val="0"/>
      <w:divBdr>
        <w:top w:val="none" w:sz="0" w:space="0" w:color="auto"/>
        <w:left w:val="none" w:sz="0" w:space="0" w:color="auto"/>
        <w:bottom w:val="none" w:sz="0" w:space="0" w:color="auto"/>
        <w:right w:val="none" w:sz="0" w:space="0" w:color="auto"/>
      </w:divBdr>
    </w:div>
    <w:div w:id="981691044">
      <w:bodyDiv w:val="1"/>
      <w:marLeft w:val="0"/>
      <w:marRight w:val="0"/>
      <w:marTop w:val="0"/>
      <w:marBottom w:val="0"/>
      <w:divBdr>
        <w:top w:val="none" w:sz="0" w:space="0" w:color="auto"/>
        <w:left w:val="none" w:sz="0" w:space="0" w:color="auto"/>
        <w:bottom w:val="none" w:sz="0" w:space="0" w:color="auto"/>
        <w:right w:val="none" w:sz="0" w:space="0" w:color="auto"/>
      </w:divBdr>
    </w:div>
    <w:div w:id="1004824502">
      <w:bodyDiv w:val="1"/>
      <w:marLeft w:val="0"/>
      <w:marRight w:val="0"/>
      <w:marTop w:val="0"/>
      <w:marBottom w:val="0"/>
      <w:divBdr>
        <w:top w:val="none" w:sz="0" w:space="0" w:color="auto"/>
        <w:left w:val="none" w:sz="0" w:space="0" w:color="auto"/>
        <w:bottom w:val="none" w:sz="0" w:space="0" w:color="auto"/>
        <w:right w:val="none" w:sz="0" w:space="0" w:color="auto"/>
      </w:divBdr>
    </w:div>
    <w:div w:id="1038899727">
      <w:bodyDiv w:val="1"/>
      <w:marLeft w:val="0"/>
      <w:marRight w:val="0"/>
      <w:marTop w:val="0"/>
      <w:marBottom w:val="0"/>
      <w:divBdr>
        <w:top w:val="none" w:sz="0" w:space="0" w:color="auto"/>
        <w:left w:val="none" w:sz="0" w:space="0" w:color="auto"/>
        <w:bottom w:val="none" w:sz="0" w:space="0" w:color="auto"/>
        <w:right w:val="none" w:sz="0" w:space="0" w:color="auto"/>
      </w:divBdr>
    </w:div>
    <w:div w:id="1111897613">
      <w:bodyDiv w:val="1"/>
      <w:marLeft w:val="0"/>
      <w:marRight w:val="0"/>
      <w:marTop w:val="0"/>
      <w:marBottom w:val="0"/>
      <w:divBdr>
        <w:top w:val="none" w:sz="0" w:space="0" w:color="auto"/>
        <w:left w:val="none" w:sz="0" w:space="0" w:color="auto"/>
        <w:bottom w:val="none" w:sz="0" w:space="0" w:color="auto"/>
        <w:right w:val="none" w:sz="0" w:space="0" w:color="auto"/>
      </w:divBdr>
    </w:div>
    <w:div w:id="1206020189">
      <w:bodyDiv w:val="1"/>
      <w:marLeft w:val="0"/>
      <w:marRight w:val="0"/>
      <w:marTop w:val="0"/>
      <w:marBottom w:val="0"/>
      <w:divBdr>
        <w:top w:val="none" w:sz="0" w:space="0" w:color="auto"/>
        <w:left w:val="none" w:sz="0" w:space="0" w:color="auto"/>
        <w:bottom w:val="none" w:sz="0" w:space="0" w:color="auto"/>
        <w:right w:val="none" w:sz="0" w:space="0" w:color="auto"/>
      </w:divBdr>
    </w:div>
    <w:div w:id="1208374317">
      <w:bodyDiv w:val="1"/>
      <w:marLeft w:val="0"/>
      <w:marRight w:val="0"/>
      <w:marTop w:val="0"/>
      <w:marBottom w:val="0"/>
      <w:divBdr>
        <w:top w:val="none" w:sz="0" w:space="0" w:color="auto"/>
        <w:left w:val="none" w:sz="0" w:space="0" w:color="auto"/>
        <w:bottom w:val="none" w:sz="0" w:space="0" w:color="auto"/>
        <w:right w:val="none" w:sz="0" w:space="0" w:color="auto"/>
      </w:divBdr>
      <w:divsChild>
        <w:div w:id="1326085187">
          <w:marLeft w:val="0"/>
          <w:marRight w:val="0"/>
          <w:marTop w:val="0"/>
          <w:marBottom w:val="0"/>
          <w:divBdr>
            <w:top w:val="none" w:sz="0" w:space="0" w:color="auto"/>
            <w:left w:val="none" w:sz="0" w:space="0" w:color="auto"/>
            <w:bottom w:val="none" w:sz="0" w:space="0" w:color="auto"/>
            <w:right w:val="none" w:sz="0" w:space="0" w:color="auto"/>
          </w:divBdr>
          <w:divsChild>
            <w:div w:id="1899315176">
              <w:marLeft w:val="0"/>
              <w:marRight w:val="0"/>
              <w:marTop w:val="0"/>
              <w:marBottom w:val="0"/>
              <w:divBdr>
                <w:top w:val="none" w:sz="0" w:space="0" w:color="auto"/>
                <w:left w:val="none" w:sz="0" w:space="0" w:color="auto"/>
                <w:bottom w:val="none" w:sz="0" w:space="0" w:color="auto"/>
                <w:right w:val="none" w:sz="0" w:space="0" w:color="auto"/>
              </w:divBdr>
              <w:divsChild>
                <w:div w:id="1106315498">
                  <w:marLeft w:val="0"/>
                  <w:marRight w:val="0"/>
                  <w:marTop w:val="0"/>
                  <w:marBottom w:val="0"/>
                  <w:divBdr>
                    <w:top w:val="none" w:sz="0" w:space="0" w:color="auto"/>
                    <w:left w:val="none" w:sz="0" w:space="0" w:color="auto"/>
                    <w:bottom w:val="none" w:sz="0" w:space="0" w:color="auto"/>
                    <w:right w:val="none" w:sz="0" w:space="0" w:color="auto"/>
                  </w:divBdr>
                  <w:divsChild>
                    <w:div w:id="413403428">
                      <w:marLeft w:val="0"/>
                      <w:marRight w:val="0"/>
                      <w:marTop w:val="0"/>
                      <w:marBottom w:val="0"/>
                      <w:divBdr>
                        <w:top w:val="none" w:sz="0" w:space="0" w:color="auto"/>
                        <w:left w:val="none" w:sz="0" w:space="0" w:color="auto"/>
                        <w:bottom w:val="none" w:sz="0" w:space="0" w:color="auto"/>
                        <w:right w:val="none" w:sz="0" w:space="0" w:color="auto"/>
                      </w:divBdr>
                      <w:divsChild>
                        <w:div w:id="1186216561">
                          <w:marLeft w:val="0"/>
                          <w:marRight w:val="0"/>
                          <w:marTop w:val="0"/>
                          <w:marBottom w:val="0"/>
                          <w:divBdr>
                            <w:top w:val="none" w:sz="0" w:space="0" w:color="auto"/>
                            <w:left w:val="none" w:sz="0" w:space="0" w:color="auto"/>
                            <w:bottom w:val="none" w:sz="0" w:space="0" w:color="auto"/>
                            <w:right w:val="none" w:sz="0" w:space="0" w:color="auto"/>
                          </w:divBdr>
                          <w:divsChild>
                            <w:div w:id="1226406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93905048">
      <w:bodyDiv w:val="1"/>
      <w:marLeft w:val="0"/>
      <w:marRight w:val="0"/>
      <w:marTop w:val="0"/>
      <w:marBottom w:val="0"/>
      <w:divBdr>
        <w:top w:val="none" w:sz="0" w:space="0" w:color="auto"/>
        <w:left w:val="none" w:sz="0" w:space="0" w:color="auto"/>
        <w:bottom w:val="none" w:sz="0" w:space="0" w:color="auto"/>
        <w:right w:val="none" w:sz="0" w:space="0" w:color="auto"/>
      </w:divBdr>
    </w:div>
    <w:div w:id="1315373964">
      <w:bodyDiv w:val="1"/>
      <w:marLeft w:val="0"/>
      <w:marRight w:val="0"/>
      <w:marTop w:val="0"/>
      <w:marBottom w:val="0"/>
      <w:divBdr>
        <w:top w:val="none" w:sz="0" w:space="0" w:color="auto"/>
        <w:left w:val="none" w:sz="0" w:space="0" w:color="auto"/>
        <w:bottom w:val="none" w:sz="0" w:space="0" w:color="auto"/>
        <w:right w:val="none" w:sz="0" w:space="0" w:color="auto"/>
      </w:divBdr>
    </w:div>
    <w:div w:id="1334602990">
      <w:bodyDiv w:val="1"/>
      <w:marLeft w:val="0"/>
      <w:marRight w:val="0"/>
      <w:marTop w:val="0"/>
      <w:marBottom w:val="0"/>
      <w:divBdr>
        <w:top w:val="none" w:sz="0" w:space="0" w:color="auto"/>
        <w:left w:val="none" w:sz="0" w:space="0" w:color="auto"/>
        <w:bottom w:val="none" w:sz="0" w:space="0" w:color="auto"/>
        <w:right w:val="none" w:sz="0" w:space="0" w:color="auto"/>
      </w:divBdr>
    </w:div>
    <w:div w:id="1401903897">
      <w:bodyDiv w:val="1"/>
      <w:marLeft w:val="0"/>
      <w:marRight w:val="0"/>
      <w:marTop w:val="0"/>
      <w:marBottom w:val="0"/>
      <w:divBdr>
        <w:top w:val="none" w:sz="0" w:space="0" w:color="auto"/>
        <w:left w:val="none" w:sz="0" w:space="0" w:color="auto"/>
        <w:bottom w:val="none" w:sz="0" w:space="0" w:color="auto"/>
        <w:right w:val="none" w:sz="0" w:space="0" w:color="auto"/>
      </w:divBdr>
    </w:div>
    <w:div w:id="1437288500">
      <w:bodyDiv w:val="1"/>
      <w:marLeft w:val="0"/>
      <w:marRight w:val="0"/>
      <w:marTop w:val="0"/>
      <w:marBottom w:val="0"/>
      <w:divBdr>
        <w:top w:val="none" w:sz="0" w:space="0" w:color="auto"/>
        <w:left w:val="none" w:sz="0" w:space="0" w:color="auto"/>
        <w:bottom w:val="none" w:sz="0" w:space="0" w:color="auto"/>
        <w:right w:val="none" w:sz="0" w:space="0" w:color="auto"/>
      </w:divBdr>
    </w:div>
    <w:div w:id="1575581884">
      <w:bodyDiv w:val="1"/>
      <w:marLeft w:val="0"/>
      <w:marRight w:val="0"/>
      <w:marTop w:val="0"/>
      <w:marBottom w:val="0"/>
      <w:divBdr>
        <w:top w:val="none" w:sz="0" w:space="0" w:color="auto"/>
        <w:left w:val="none" w:sz="0" w:space="0" w:color="auto"/>
        <w:bottom w:val="none" w:sz="0" w:space="0" w:color="auto"/>
        <w:right w:val="none" w:sz="0" w:space="0" w:color="auto"/>
      </w:divBdr>
    </w:div>
    <w:div w:id="1624114575">
      <w:bodyDiv w:val="1"/>
      <w:marLeft w:val="0"/>
      <w:marRight w:val="0"/>
      <w:marTop w:val="0"/>
      <w:marBottom w:val="0"/>
      <w:divBdr>
        <w:top w:val="none" w:sz="0" w:space="0" w:color="auto"/>
        <w:left w:val="none" w:sz="0" w:space="0" w:color="auto"/>
        <w:bottom w:val="none" w:sz="0" w:space="0" w:color="auto"/>
        <w:right w:val="none" w:sz="0" w:space="0" w:color="auto"/>
      </w:divBdr>
    </w:div>
    <w:div w:id="1642226611">
      <w:bodyDiv w:val="1"/>
      <w:marLeft w:val="0"/>
      <w:marRight w:val="0"/>
      <w:marTop w:val="0"/>
      <w:marBottom w:val="0"/>
      <w:divBdr>
        <w:top w:val="none" w:sz="0" w:space="0" w:color="auto"/>
        <w:left w:val="none" w:sz="0" w:space="0" w:color="auto"/>
        <w:bottom w:val="none" w:sz="0" w:space="0" w:color="auto"/>
        <w:right w:val="none" w:sz="0" w:space="0" w:color="auto"/>
      </w:divBdr>
    </w:div>
    <w:div w:id="1675647359">
      <w:bodyDiv w:val="1"/>
      <w:marLeft w:val="0"/>
      <w:marRight w:val="0"/>
      <w:marTop w:val="0"/>
      <w:marBottom w:val="0"/>
      <w:divBdr>
        <w:top w:val="none" w:sz="0" w:space="0" w:color="auto"/>
        <w:left w:val="none" w:sz="0" w:space="0" w:color="auto"/>
        <w:bottom w:val="none" w:sz="0" w:space="0" w:color="auto"/>
        <w:right w:val="none" w:sz="0" w:space="0" w:color="auto"/>
      </w:divBdr>
    </w:div>
    <w:div w:id="1722168810">
      <w:bodyDiv w:val="1"/>
      <w:marLeft w:val="0"/>
      <w:marRight w:val="0"/>
      <w:marTop w:val="0"/>
      <w:marBottom w:val="0"/>
      <w:divBdr>
        <w:top w:val="none" w:sz="0" w:space="0" w:color="auto"/>
        <w:left w:val="none" w:sz="0" w:space="0" w:color="auto"/>
        <w:bottom w:val="none" w:sz="0" w:space="0" w:color="auto"/>
        <w:right w:val="none" w:sz="0" w:space="0" w:color="auto"/>
      </w:divBdr>
    </w:div>
    <w:div w:id="1769040776">
      <w:bodyDiv w:val="1"/>
      <w:marLeft w:val="0"/>
      <w:marRight w:val="0"/>
      <w:marTop w:val="0"/>
      <w:marBottom w:val="0"/>
      <w:divBdr>
        <w:top w:val="none" w:sz="0" w:space="0" w:color="auto"/>
        <w:left w:val="none" w:sz="0" w:space="0" w:color="auto"/>
        <w:bottom w:val="none" w:sz="0" w:space="0" w:color="auto"/>
        <w:right w:val="none" w:sz="0" w:space="0" w:color="auto"/>
      </w:divBdr>
    </w:div>
    <w:div w:id="1769503020">
      <w:bodyDiv w:val="1"/>
      <w:marLeft w:val="0"/>
      <w:marRight w:val="0"/>
      <w:marTop w:val="0"/>
      <w:marBottom w:val="0"/>
      <w:divBdr>
        <w:top w:val="none" w:sz="0" w:space="0" w:color="auto"/>
        <w:left w:val="none" w:sz="0" w:space="0" w:color="auto"/>
        <w:bottom w:val="none" w:sz="0" w:space="0" w:color="auto"/>
        <w:right w:val="none" w:sz="0" w:space="0" w:color="auto"/>
      </w:divBdr>
    </w:div>
    <w:div w:id="1774742699">
      <w:bodyDiv w:val="1"/>
      <w:marLeft w:val="0"/>
      <w:marRight w:val="0"/>
      <w:marTop w:val="0"/>
      <w:marBottom w:val="0"/>
      <w:divBdr>
        <w:top w:val="none" w:sz="0" w:space="0" w:color="auto"/>
        <w:left w:val="none" w:sz="0" w:space="0" w:color="auto"/>
        <w:bottom w:val="none" w:sz="0" w:space="0" w:color="auto"/>
        <w:right w:val="none" w:sz="0" w:space="0" w:color="auto"/>
      </w:divBdr>
    </w:div>
    <w:div w:id="1813668664">
      <w:bodyDiv w:val="1"/>
      <w:marLeft w:val="0"/>
      <w:marRight w:val="0"/>
      <w:marTop w:val="0"/>
      <w:marBottom w:val="0"/>
      <w:divBdr>
        <w:top w:val="none" w:sz="0" w:space="0" w:color="auto"/>
        <w:left w:val="none" w:sz="0" w:space="0" w:color="auto"/>
        <w:bottom w:val="none" w:sz="0" w:space="0" w:color="auto"/>
        <w:right w:val="none" w:sz="0" w:space="0" w:color="auto"/>
      </w:divBdr>
    </w:div>
    <w:div w:id="1846749103">
      <w:bodyDiv w:val="1"/>
      <w:marLeft w:val="0"/>
      <w:marRight w:val="0"/>
      <w:marTop w:val="0"/>
      <w:marBottom w:val="0"/>
      <w:divBdr>
        <w:top w:val="none" w:sz="0" w:space="0" w:color="auto"/>
        <w:left w:val="none" w:sz="0" w:space="0" w:color="auto"/>
        <w:bottom w:val="none" w:sz="0" w:space="0" w:color="auto"/>
        <w:right w:val="none" w:sz="0" w:space="0" w:color="auto"/>
      </w:divBdr>
    </w:div>
    <w:div w:id="1867710543">
      <w:bodyDiv w:val="1"/>
      <w:marLeft w:val="0"/>
      <w:marRight w:val="0"/>
      <w:marTop w:val="0"/>
      <w:marBottom w:val="0"/>
      <w:divBdr>
        <w:top w:val="none" w:sz="0" w:space="0" w:color="auto"/>
        <w:left w:val="none" w:sz="0" w:space="0" w:color="auto"/>
        <w:bottom w:val="none" w:sz="0" w:space="0" w:color="auto"/>
        <w:right w:val="none" w:sz="0" w:space="0" w:color="auto"/>
      </w:divBdr>
    </w:div>
    <w:div w:id="1905481671">
      <w:bodyDiv w:val="1"/>
      <w:marLeft w:val="0"/>
      <w:marRight w:val="0"/>
      <w:marTop w:val="0"/>
      <w:marBottom w:val="0"/>
      <w:divBdr>
        <w:top w:val="none" w:sz="0" w:space="0" w:color="auto"/>
        <w:left w:val="none" w:sz="0" w:space="0" w:color="auto"/>
        <w:bottom w:val="none" w:sz="0" w:space="0" w:color="auto"/>
        <w:right w:val="none" w:sz="0" w:space="0" w:color="auto"/>
      </w:divBdr>
    </w:div>
    <w:div w:id="1910068607">
      <w:bodyDiv w:val="1"/>
      <w:marLeft w:val="0"/>
      <w:marRight w:val="0"/>
      <w:marTop w:val="0"/>
      <w:marBottom w:val="0"/>
      <w:divBdr>
        <w:top w:val="none" w:sz="0" w:space="0" w:color="auto"/>
        <w:left w:val="none" w:sz="0" w:space="0" w:color="auto"/>
        <w:bottom w:val="none" w:sz="0" w:space="0" w:color="auto"/>
        <w:right w:val="none" w:sz="0" w:space="0" w:color="auto"/>
      </w:divBdr>
    </w:div>
    <w:div w:id="1924953660">
      <w:bodyDiv w:val="1"/>
      <w:marLeft w:val="0"/>
      <w:marRight w:val="0"/>
      <w:marTop w:val="0"/>
      <w:marBottom w:val="0"/>
      <w:divBdr>
        <w:top w:val="none" w:sz="0" w:space="0" w:color="auto"/>
        <w:left w:val="none" w:sz="0" w:space="0" w:color="auto"/>
        <w:bottom w:val="none" w:sz="0" w:space="0" w:color="auto"/>
        <w:right w:val="none" w:sz="0" w:space="0" w:color="auto"/>
      </w:divBdr>
    </w:div>
    <w:div w:id="1929118094">
      <w:bodyDiv w:val="1"/>
      <w:marLeft w:val="0"/>
      <w:marRight w:val="0"/>
      <w:marTop w:val="0"/>
      <w:marBottom w:val="0"/>
      <w:divBdr>
        <w:top w:val="none" w:sz="0" w:space="0" w:color="auto"/>
        <w:left w:val="none" w:sz="0" w:space="0" w:color="auto"/>
        <w:bottom w:val="none" w:sz="0" w:space="0" w:color="auto"/>
        <w:right w:val="none" w:sz="0" w:space="0" w:color="auto"/>
      </w:divBdr>
    </w:div>
    <w:div w:id="1961955073">
      <w:bodyDiv w:val="1"/>
      <w:marLeft w:val="0"/>
      <w:marRight w:val="0"/>
      <w:marTop w:val="0"/>
      <w:marBottom w:val="0"/>
      <w:divBdr>
        <w:top w:val="none" w:sz="0" w:space="0" w:color="auto"/>
        <w:left w:val="none" w:sz="0" w:space="0" w:color="auto"/>
        <w:bottom w:val="none" w:sz="0" w:space="0" w:color="auto"/>
        <w:right w:val="none" w:sz="0" w:space="0" w:color="auto"/>
      </w:divBdr>
    </w:div>
    <w:div w:id="1963146165">
      <w:bodyDiv w:val="1"/>
      <w:marLeft w:val="0"/>
      <w:marRight w:val="0"/>
      <w:marTop w:val="0"/>
      <w:marBottom w:val="0"/>
      <w:divBdr>
        <w:top w:val="none" w:sz="0" w:space="0" w:color="auto"/>
        <w:left w:val="none" w:sz="0" w:space="0" w:color="auto"/>
        <w:bottom w:val="none" w:sz="0" w:space="0" w:color="auto"/>
        <w:right w:val="none" w:sz="0" w:space="0" w:color="auto"/>
      </w:divBdr>
    </w:div>
    <w:div w:id="2104379828">
      <w:bodyDiv w:val="1"/>
      <w:marLeft w:val="0"/>
      <w:marRight w:val="0"/>
      <w:marTop w:val="0"/>
      <w:marBottom w:val="0"/>
      <w:divBdr>
        <w:top w:val="none" w:sz="0" w:space="0" w:color="auto"/>
        <w:left w:val="none" w:sz="0" w:space="0" w:color="auto"/>
        <w:bottom w:val="none" w:sz="0" w:space="0" w:color="auto"/>
        <w:right w:val="none" w:sz="0" w:space="0" w:color="auto"/>
      </w:divBdr>
    </w:div>
    <w:div w:id="2111120603">
      <w:bodyDiv w:val="1"/>
      <w:marLeft w:val="0"/>
      <w:marRight w:val="0"/>
      <w:marTop w:val="0"/>
      <w:marBottom w:val="0"/>
      <w:divBdr>
        <w:top w:val="none" w:sz="0" w:space="0" w:color="auto"/>
        <w:left w:val="none" w:sz="0" w:space="0" w:color="auto"/>
        <w:bottom w:val="none" w:sz="0" w:space="0" w:color="auto"/>
        <w:right w:val="none" w:sz="0" w:space="0" w:color="auto"/>
      </w:divBdr>
    </w:div>
    <w:div w:id="2112772747">
      <w:bodyDiv w:val="1"/>
      <w:marLeft w:val="0"/>
      <w:marRight w:val="0"/>
      <w:marTop w:val="0"/>
      <w:marBottom w:val="0"/>
      <w:divBdr>
        <w:top w:val="none" w:sz="0" w:space="0" w:color="auto"/>
        <w:left w:val="none" w:sz="0" w:space="0" w:color="auto"/>
        <w:bottom w:val="none" w:sz="0" w:space="0" w:color="auto"/>
        <w:right w:val="none" w:sz="0" w:space="0" w:color="auto"/>
      </w:divBdr>
    </w:div>
    <w:div w:id="2120176254">
      <w:bodyDiv w:val="1"/>
      <w:marLeft w:val="0"/>
      <w:marRight w:val="0"/>
      <w:marTop w:val="0"/>
      <w:marBottom w:val="0"/>
      <w:divBdr>
        <w:top w:val="none" w:sz="0" w:space="0" w:color="auto"/>
        <w:left w:val="none" w:sz="0" w:space="0" w:color="auto"/>
        <w:bottom w:val="none" w:sz="0" w:space="0" w:color="auto"/>
        <w:right w:val="none" w:sz="0" w:space="0" w:color="auto"/>
      </w:divBdr>
    </w:div>
    <w:div w:id="2124569932">
      <w:bodyDiv w:val="1"/>
      <w:marLeft w:val="0"/>
      <w:marRight w:val="0"/>
      <w:marTop w:val="0"/>
      <w:marBottom w:val="0"/>
      <w:divBdr>
        <w:top w:val="none" w:sz="0" w:space="0" w:color="auto"/>
        <w:left w:val="none" w:sz="0" w:space="0" w:color="auto"/>
        <w:bottom w:val="none" w:sz="0" w:space="0" w:color="auto"/>
        <w:right w:val="none" w:sz="0" w:space="0" w:color="auto"/>
      </w:divBdr>
    </w:div>
    <w:div w:id="2132554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footer" Target="footer3.xml"/><Relationship Id="rId26" Type="http://schemas.openxmlformats.org/officeDocument/2006/relationships/header" Target="header7.xml"/><Relationship Id="rId39" Type="http://schemas.openxmlformats.org/officeDocument/2006/relationships/image" Target="media/image16.jpeg"/><Relationship Id="rId21" Type="http://schemas.openxmlformats.org/officeDocument/2006/relationships/image" Target="cid:image001.png@01D50F14.412C1BF0" TargetMode="External"/><Relationship Id="rId34" Type="http://schemas.openxmlformats.org/officeDocument/2006/relationships/hyperlink" Target="https://openscience.cefas.co.uk/invasive_species/" TargetMode="External"/><Relationship Id="rId42" Type="http://schemas.openxmlformats.org/officeDocument/2006/relationships/image" Target="media/image19.png"/><Relationship Id="rId47" Type="http://schemas.openxmlformats.org/officeDocument/2006/relationships/image" Target="media/image22.jpeg"/><Relationship Id="rId50" Type="http://schemas.openxmlformats.org/officeDocument/2006/relationships/header" Target="header13.xml"/><Relationship Id="rId55"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4.xml"/><Relationship Id="rId25" Type="http://schemas.openxmlformats.org/officeDocument/2006/relationships/header" Target="header6.xml"/><Relationship Id="rId33" Type="http://schemas.openxmlformats.org/officeDocument/2006/relationships/hyperlink" Target="https://arcg.is/1Lr4GW" TargetMode="External"/><Relationship Id="rId38" Type="http://schemas.openxmlformats.org/officeDocument/2006/relationships/image" Target="media/image15.jpeg"/><Relationship Id="rId46" Type="http://schemas.openxmlformats.org/officeDocument/2006/relationships/header" Target="header10.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media/image5.png"/><Relationship Id="rId29" Type="http://schemas.openxmlformats.org/officeDocument/2006/relationships/image" Target="media/image9.png"/><Relationship Id="rId41" Type="http://schemas.openxmlformats.org/officeDocument/2006/relationships/image" Target="media/image18.png"/><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24" Type="http://schemas.openxmlformats.org/officeDocument/2006/relationships/image" Target="media/image6.png"/><Relationship Id="rId32" Type="http://schemas.openxmlformats.org/officeDocument/2006/relationships/image" Target="media/image12.jpeg"/><Relationship Id="rId37" Type="http://schemas.openxmlformats.org/officeDocument/2006/relationships/image" Target="media/image14.emf"/><Relationship Id="rId40" Type="http://schemas.openxmlformats.org/officeDocument/2006/relationships/image" Target="media/image17.png"/><Relationship Id="rId45" Type="http://schemas.openxmlformats.org/officeDocument/2006/relationships/image" Target="media/image21.jpeg"/><Relationship Id="rId53" Type="http://schemas.openxmlformats.org/officeDocument/2006/relationships/footer" Target="footer5.xm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footer" Target="footer4.xml"/><Relationship Id="rId28" Type="http://schemas.openxmlformats.org/officeDocument/2006/relationships/image" Target="media/image8.png"/><Relationship Id="rId36" Type="http://schemas.openxmlformats.org/officeDocument/2006/relationships/header" Target="header8.xml"/><Relationship Id="rId49" Type="http://schemas.openxmlformats.org/officeDocument/2006/relationships/header" Target="header12.xml"/><Relationship Id="rId10" Type="http://schemas.openxmlformats.org/officeDocument/2006/relationships/endnotes" Target="endnotes.xml"/><Relationship Id="rId19" Type="http://schemas.openxmlformats.org/officeDocument/2006/relationships/image" Target="media/image4.jpeg"/><Relationship Id="rId31" Type="http://schemas.openxmlformats.org/officeDocument/2006/relationships/image" Target="media/image11.jpeg"/><Relationship Id="rId44" Type="http://schemas.openxmlformats.org/officeDocument/2006/relationships/image" Target="media/image20.jpeg"/><Relationship Id="rId52" Type="http://schemas.openxmlformats.org/officeDocument/2006/relationships/header" Target="header1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header" Target="header5.xml"/><Relationship Id="rId27" Type="http://schemas.openxmlformats.org/officeDocument/2006/relationships/image" Target="media/image7.png"/><Relationship Id="rId30" Type="http://schemas.openxmlformats.org/officeDocument/2006/relationships/image" Target="media/image10.png"/><Relationship Id="rId35" Type="http://schemas.openxmlformats.org/officeDocument/2006/relationships/image" Target="media/image13.png"/><Relationship Id="rId43" Type="http://schemas.openxmlformats.org/officeDocument/2006/relationships/header" Target="header9.xml"/><Relationship Id="rId48" Type="http://schemas.openxmlformats.org/officeDocument/2006/relationships/header" Target="header11.xml"/><Relationship Id="rId8" Type="http://schemas.openxmlformats.org/officeDocument/2006/relationships/webSettings" Target="webSettings.xml"/><Relationship Id="rId51" Type="http://schemas.openxmlformats.org/officeDocument/2006/relationships/image" Target="media/image23.jpeg"/><Relationship Id="rId3" Type="http://schemas.openxmlformats.org/officeDocument/2006/relationships/customXml" Target="../customXml/item3.xml"/></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_rels/header3.xml.rels><?xml version="1.0" encoding="UTF-8" standalone="yes"?>
<Relationships xmlns="http://schemas.openxmlformats.org/package/2006/relationships"><Relationship Id="rId1" Type="http://schemas.openxmlformats.org/officeDocument/2006/relationships/image" Target="media/image3.jpg"/></Relationships>
</file>

<file path=word/_rels/header4.xml.rels><?xml version="1.0" encoding="UTF-8" standalone="yes"?>
<Relationships xmlns="http://schemas.openxmlformats.org/package/2006/relationships"><Relationship Id="rId1" Type="http://schemas.openxmlformats.org/officeDocument/2006/relationships/image" Target="media/image3.jpg"/></Relationships>
</file>

<file path=word/_rels/header5.xml.rels><?xml version="1.0" encoding="UTF-8" standalone="yes"?>
<Relationships xmlns="http://schemas.openxmlformats.org/package/2006/relationships"><Relationship Id="rId1" Type="http://schemas.openxmlformats.org/officeDocument/2006/relationships/image" Target="media/image3.jpg"/></Relationships>
</file>

<file path=word/_rels/header6.xml.rels><?xml version="1.0" encoding="UTF-8" standalone="yes"?>
<Relationships xmlns="http://schemas.openxmlformats.org/package/2006/relationships"><Relationship Id="rId1" Type="http://schemas.openxmlformats.org/officeDocument/2006/relationships/image" Target="media/image3.jpg"/></Relationships>
</file>

<file path=word/_rels/header7.xml.rels><?xml version="1.0" encoding="UTF-8" standalone="yes"?>
<Relationships xmlns="http://schemas.openxmlformats.org/package/2006/relationships"><Relationship Id="rId1" Type="http://schemas.openxmlformats.org/officeDocument/2006/relationships/image" Target="media/image3.jpg"/></Relationships>
</file>

<file path=word/_rels/header8.xml.rels><?xml version="1.0" encoding="UTF-8" standalone="yes"?>
<Relationships xmlns="http://schemas.openxmlformats.org/package/2006/relationships"><Relationship Id="rId1" Type="http://schemas.openxmlformats.org/officeDocument/2006/relationships/image" Target="media/image3.jpg"/></Relationships>
</file>

<file path=word/_rels/header9.xml.rels><?xml version="1.0" encoding="UTF-8" standalone="yes"?>
<Relationships xmlns="http://schemas.openxmlformats.org/package/2006/relationships"><Relationship Id="rId1" Type="http://schemas.openxmlformats.org/officeDocument/2006/relationships/image" Target="media/image3.jpg"/></Relationships>
</file>

<file path=word/_rels/header10.xml.rels><?xml version="1.0" encoding="UTF-8" standalone="yes"?>
<Relationships xmlns="http://schemas.openxmlformats.org/package/2006/relationships"><Relationship Id="rId1" Type="http://schemas.openxmlformats.org/officeDocument/2006/relationships/image" Target="media/image3.jpg"/></Relationships>
</file>

<file path=word/_rels/header11.xml.rels><?xml version="1.0" encoding="UTF-8" standalone="yes"?>
<Relationships xmlns="http://schemas.openxmlformats.org/package/2006/relationships"><Relationship Id="rId1" Type="http://schemas.openxmlformats.org/officeDocument/2006/relationships/image" Target="media/image3.jpg"/></Relationships>
</file>

<file path=word/_rels/header12.xml.rels><?xml version="1.0" encoding="UTF-8" standalone="yes"?>
<Relationships xmlns="http://schemas.openxmlformats.org/package/2006/relationships"><Relationship Id="rId1" Type="http://schemas.openxmlformats.org/officeDocument/2006/relationships/image" Target="media/image3.jpg"/></Relationships>
</file>

<file path=word/_rels/header13.xml.rels><?xml version="1.0" encoding="UTF-8" standalone="yes"?>
<Relationships xmlns="http://schemas.openxmlformats.org/package/2006/relationships"><Relationship Id="rId1" Type="http://schemas.openxmlformats.org/officeDocument/2006/relationships/image" Target="media/image3.jp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I385623\Desktop\Report%20Template%20-%20Final.dotx" TargetMode="External"/></Relationships>
</file>

<file path=word/theme/theme1.xml><?xml version="1.0" encoding="utf-8"?>
<a:theme xmlns:a="http://schemas.openxmlformats.org/drawingml/2006/main" name="Office Theme">
  <a:themeElements>
    <a:clrScheme name="Sofia Offshore Wind Farm">
      <a:dk1>
        <a:sysClr val="windowText" lastClr="000000"/>
      </a:dk1>
      <a:lt1>
        <a:sysClr val="window" lastClr="FFFFFF"/>
      </a:lt1>
      <a:dk2>
        <a:srgbClr val="1F497D"/>
      </a:dk2>
      <a:lt2>
        <a:srgbClr val="FFFFFF"/>
      </a:lt2>
      <a:accent1>
        <a:srgbClr val="1D4477"/>
      </a:accent1>
      <a:accent2>
        <a:srgbClr val="3ED8BD"/>
      </a:accent2>
      <a:accent3>
        <a:srgbClr val="FDC300"/>
      </a:accent3>
      <a:accent4>
        <a:srgbClr val="C1067F"/>
      </a:accent4>
      <a:accent5>
        <a:srgbClr val="CFD2D3"/>
      </a:accent5>
      <a:accent6>
        <a:srgbClr val="FFFFFF"/>
      </a:accent6>
      <a:hlink>
        <a:srgbClr val="1D4477"/>
      </a:hlink>
      <a:folHlink>
        <a:srgbClr val="3ED8BD"/>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C07959F2F750C46AEEE657EA71A1E9F" ma:contentTypeVersion="13" ma:contentTypeDescription="Create a new document." ma:contentTypeScope="" ma:versionID="16fa8fc1f26a353b1fe92c087395dacc">
  <xsd:schema xmlns:xsd="http://www.w3.org/2001/XMLSchema" xmlns:xs="http://www.w3.org/2001/XMLSchema" xmlns:p="http://schemas.microsoft.com/office/2006/metadata/properties" xmlns:ns2="d9bb88f3-f290-43dc-b838-f386af8f3352" xmlns:ns3="f3df8ced-7a50-4946-b851-b309fba754c4" targetNamespace="http://schemas.microsoft.com/office/2006/metadata/properties" ma:root="true" ma:fieldsID="ce279ae77ed33e8d601b0309f95d125d" ns2:_="" ns3:_="">
    <xsd:import namespace="d9bb88f3-f290-43dc-b838-f386af8f3352"/>
    <xsd:import namespace="f3df8ced-7a50-4946-b851-b309fba754c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9bb88f3-f290-43dc-b838-f386af8f335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3df8ced-7a50-4946-b851-b309fba754c4"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999FD6-77A4-4E13-9DB5-4E984E244C70}">
  <ds:schemaRefs>
    <ds:schemaRef ds:uri="http://schemas.microsoft.com/sharepoint/v3/contenttype/forms"/>
  </ds:schemaRefs>
</ds:datastoreItem>
</file>

<file path=customXml/itemProps2.xml><?xml version="1.0" encoding="utf-8"?>
<ds:datastoreItem xmlns:ds="http://schemas.openxmlformats.org/officeDocument/2006/customXml" ds:itemID="{31C8537D-11BB-401A-B8EC-AB75D4B825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9bb88f3-f290-43dc-b838-f386af8f3352"/>
    <ds:schemaRef ds:uri="f3df8ced-7a50-4946-b851-b309fba754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CC7A2A7-64E0-4ED0-A220-23682D938EE7}">
  <ds:schemaRefs>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f3df8ced-7a50-4946-b851-b309fba754c4"/>
    <ds:schemaRef ds:uri="http://purl.org/dc/elements/1.1/"/>
    <ds:schemaRef ds:uri="d9bb88f3-f290-43dc-b838-f386af8f3352"/>
    <ds:schemaRef ds:uri="http://www.w3.org/XML/1998/namespace"/>
    <ds:schemaRef ds:uri="http://purl.org/dc/dcmitype/"/>
  </ds:schemaRefs>
</ds:datastoreItem>
</file>

<file path=customXml/itemProps4.xml><?xml version="1.0" encoding="utf-8"?>
<ds:datastoreItem xmlns:ds="http://schemas.openxmlformats.org/officeDocument/2006/customXml" ds:itemID="{7C5480C4-ADE1-467B-901A-2AFBD4AEA5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Report Template - Final</Template>
  <TotalTime>0</TotalTime>
  <Pages>63</Pages>
  <Words>19451</Words>
  <Characters>110876</Characters>
  <Application>Microsoft Office Word</Application>
  <DocSecurity>0</DocSecurity>
  <Lines>923</Lines>
  <Paragraphs>260</Paragraphs>
  <ScaleCrop>false</ScaleCrop>
  <HeadingPairs>
    <vt:vector size="2" baseType="variant">
      <vt:variant>
        <vt:lpstr>Title</vt:lpstr>
      </vt:variant>
      <vt:variant>
        <vt:i4>1</vt:i4>
      </vt:variant>
    </vt:vector>
  </HeadingPairs>
  <TitlesOfParts>
    <vt:vector size="1" baseType="lpstr">
      <vt:lpstr/>
    </vt:vector>
  </TitlesOfParts>
  <Manager>clare.davies@innogy.com</Manager>
  <Company>Sofia Offshore Wind Farm Limited</Company>
  <LinksUpToDate>false</LinksUpToDate>
  <CharactersWithSpaces>130067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Davies, Clare</dc:creator>
  <cp:lastModifiedBy>Drew-Murphy, Julie</cp:lastModifiedBy>
  <cp:revision>4</cp:revision>
  <cp:lastPrinted>2021-07-27T16:18:00Z</cp:lastPrinted>
  <dcterms:created xsi:type="dcterms:W3CDTF">2021-07-27T16:07:00Z</dcterms:created>
  <dcterms:modified xsi:type="dcterms:W3CDTF">2021-07-27T16:22:00Z</dcterms:modified>
</cp:coreProperties>
</file>

<file path=docProps/custom.xml><?xml version="1.0" encoding="utf-8"?>
<Properties xmlns="http://schemas.openxmlformats.org/officeDocument/2006/custom-properties" xmlns:vt="http://schemas.openxmlformats.org/officeDocument/2006/docPropsVTypes">
  <property fmtid="{F21D9941-81F0-471A-ADEE-4E74B49217ED}" pid="100">
    <vt:lpwstr>nscale::8a368449-33db5977-0133-db59df5a-0002::Innogy$NOTSET$3096072$2$NOTSET::0::dms-ecodoc.internal.innogy.com::8450::nscalealinst1::Renewables</vt:lpwstr>
  </property>
  <property fmtid="{D5CDD505-2E9C-101B-9397-08002B2CF9AE}" pid="2" name="ContentTypeId">
    <vt:lpwstr>0x010100DC07959F2F750C46AEEE657EA71A1E9F</vt:lpwstr>
  </property>
</Properties>
</file>